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F36D" w14:textId="2F6FF3FD" w:rsidR="00D866C3" w:rsidRPr="007A01FD" w:rsidRDefault="00D866C3" w:rsidP="00420FA4"/>
    <w:p w14:paraId="46A42661" w14:textId="77777777" w:rsidR="00420FA4" w:rsidRDefault="00420FA4" w:rsidP="00420FA4">
      <w:pPr>
        <w:pStyle w:val="Heading1"/>
        <w:jc w:val="right"/>
        <w:rPr>
          <w:rFonts w:asciiTheme="minorHAnsi" w:hAnsiTheme="minorHAnsi" w:cstheme="minorHAnsi"/>
          <w:sz w:val="22"/>
          <w:szCs w:val="22"/>
          <w:lang w:eastAsia="en-AU"/>
        </w:rPr>
      </w:pPr>
      <w:r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7F889B58" wp14:editId="36BC8697">
            <wp:extent cx="1934210" cy="738505"/>
            <wp:effectExtent l="0" t="0" r="8890" b="4445"/>
            <wp:docPr id="1" name="Picture 1" descr="Council For International Development -_core -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cil For International Development -_core - WHIT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1FC5" w14:textId="77777777" w:rsidR="00420FA4" w:rsidRDefault="00420FA4" w:rsidP="00420FA4">
      <w:pPr>
        <w:rPr>
          <w:b/>
          <w:sz w:val="24"/>
          <w:szCs w:val="24"/>
          <w:lang w:eastAsia="en-AU"/>
        </w:rPr>
      </w:pPr>
    </w:p>
    <w:p w14:paraId="030C9BD1" w14:textId="7B90D9E0" w:rsidR="00420FA4" w:rsidRPr="00205163" w:rsidRDefault="00420FA4" w:rsidP="00420FA4">
      <w:pPr>
        <w:rPr>
          <w:rFonts w:cstheme="minorHAnsi"/>
          <w:i/>
          <w:lang w:eastAsia="en-AU"/>
        </w:rPr>
      </w:pPr>
      <w:r w:rsidRPr="005A4D8D">
        <w:rPr>
          <w:rFonts w:cstheme="minorHAnsi"/>
          <w:b/>
          <w:i/>
          <w:highlight w:val="green"/>
          <w:lang w:eastAsia="en-AU"/>
        </w:rPr>
        <w:t>Note:</w:t>
      </w:r>
      <w:r w:rsidRPr="00205163">
        <w:rPr>
          <w:rFonts w:cstheme="minorHAnsi"/>
          <w:i/>
          <w:lang w:eastAsia="en-AU"/>
        </w:rPr>
        <w:t xml:space="preserve"> A</w:t>
      </w:r>
      <w:r>
        <w:rPr>
          <w:rFonts w:cstheme="minorHAnsi"/>
          <w:i/>
          <w:lang w:eastAsia="en-AU"/>
        </w:rPr>
        <w:t>n</w:t>
      </w:r>
      <w:r w:rsidRPr="00205163">
        <w:rPr>
          <w:rFonts w:cstheme="minorHAnsi"/>
          <w:i/>
          <w:lang w:eastAsia="en-AU"/>
        </w:rPr>
        <w:t xml:space="preserve"> </w:t>
      </w:r>
      <w:r>
        <w:rPr>
          <w:rFonts w:cstheme="minorHAnsi"/>
          <w:i/>
          <w:lang w:eastAsia="en-AU"/>
        </w:rPr>
        <w:t>Emergency Management</w:t>
      </w:r>
      <w:r w:rsidRPr="00205163">
        <w:rPr>
          <w:rFonts w:cstheme="minorHAnsi"/>
          <w:i/>
          <w:lang w:eastAsia="en-AU"/>
        </w:rPr>
        <w:t xml:space="preserve"> Policy should be tailored according to </w:t>
      </w:r>
      <w:r w:rsidR="0018098B">
        <w:rPr>
          <w:rFonts w:cstheme="minorHAnsi"/>
          <w:i/>
          <w:lang w:eastAsia="en-AU"/>
        </w:rPr>
        <w:t>the organisation’s</w:t>
      </w:r>
      <w:r w:rsidRPr="00205163">
        <w:rPr>
          <w:rFonts w:cstheme="minorHAnsi"/>
          <w:i/>
          <w:lang w:eastAsia="en-AU"/>
        </w:rPr>
        <w:t xml:space="preserve"> size</w:t>
      </w:r>
      <w:r w:rsidR="0018098B">
        <w:rPr>
          <w:rFonts w:cstheme="minorHAnsi"/>
          <w:i/>
          <w:lang w:eastAsia="en-AU"/>
        </w:rPr>
        <w:t xml:space="preserve"> and </w:t>
      </w:r>
      <w:bookmarkStart w:id="0" w:name="_GoBack"/>
      <w:bookmarkEnd w:id="0"/>
      <w:r w:rsidRPr="00205163">
        <w:rPr>
          <w:rFonts w:cstheme="minorHAnsi"/>
          <w:i/>
          <w:lang w:eastAsia="en-AU"/>
        </w:rPr>
        <w:t xml:space="preserve">operations. This template can be changed according to organisational context. </w:t>
      </w:r>
      <w:r w:rsidR="005A4D8D">
        <w:rPr>
          <w:rFonts w:cstheme="minorHAnsi"/>
          <w:i/>
          <w:lang w:eastAsia="en-AU"/>
        </w:rPr>
        <w:t xml:space="preserve">This template can assist with understanding some of the policy requirements for CID Code of Conduct mandatory obligation </w:t>
      </w:r>
      <w:r w:rsidR="005A4D8D">
        <w:rPr>
          <w:rFonts w:cstheme="minorHAnsi"/>
          <w:b/>
          <w:i/>
          <w:lang w:eastAsia="en-AU"/>
        </w:rPr>
        <w:t>B.5 Emergency Management</w:t>
      </w:r>
      <w:r w:rsidR="005A4D8D">
        <w:rPr>
          <w:rFonts w:cstheme="minorHAnsi"/>
          <w:i/>
          <w:lang w:eastAsia="en-AU"/>
        </w:rPr>
        <w:t>.</w:t>
      </w:r>
    </w:p>
    <w:p w14:paraId="15C24CD6" w14:textId="77777777" w:rsidR="00420FA4" w:rsidRPr="00E03772" w:rsidRDefault="00420FA4" w:rsidP="00420FA4">
      <w:pPr>
        <w:rPr>
          <w:rFonts w:cstheme="minorHAnsi"/>
          <w:b/>
          <w:lang w:eastAsia="en-AU"/>
        </w:rPr>
      </w:pPr>
      <w:r w:rsidRPr="00E03772">
        <w:rPr>
          <w:rFonts w:cstheme="minorHAnsi"/>
          <w:b/>
          <w:lang w:eastAsia="en-AU"/>
        </w:rPr>
        <w:t>[Organisation]</w:t>
      </w:r>
    </w:p>
    <w:p w14:paraId="5A0A7227" w14:textId="2059997E" w:rsidR="00420FA4" w:rsidRPr="00E03772" w:rsidRDefault="00420FA4" w:rsidP="00420FA4">
      <w:pPr>
        <w:rPr>
          <w:rFonts w:cstheme="minorHAnsi"/>
          <w:b/>
          <w:color w:val="70AD47" w:themeColor="accent6"/>
          <w:sz w:val="28"/>
          <w:szCs w:val="28"/>
          <w:lang w:eastAsia="en-AU"/>
        </w:rPr>
      </w:pPr>
      <w:r>
        <w:rPr>
          <w:rFonts w:cstheme="minorHAnsi"/>
          <w:b/>
          <w:color w:val="70AD47" w:themeColor="accent6"/>
          <w:sz w:val="28"/>
          <w:szCs w:val="28"/>
          <w:lang w:eastAsia="en-AU"/>
        </w:rPr>
        <w:t>Emergency Management</w:t>
      </w:r>
      <w:r w:rsidRPr="00E03772">
        <w:rPr>
          <w:rFonts w:cstheme="minorHAnsi"/>
          <w:b/>
          <w:color w:val="70AD47" w:themeColor="accent6"/>
          <w:sz w:val="28"/>
          <w:szCs w:val="28"/>
          <w:lang w:eastAsia="en-AU"/>
        </w:rPr>
        <w:t xml:space="preserve"> Policy</w:t>
      </w:r>
      <w:r>
        <w:rPr>
          <w:rFonts w:cstheme="minorHAnsi"/>
          <w:b/>
          <w:color w:val="70AD47" w:themeColor="accent6"/>
          <w:sz w:val="28"/>
          <w:szCs w:val="28"/>
          <w:lang w:eastAsia="en-AU"/>
        </w:rPr>
        <w:t xml:space="preserve"> </w:t>
      </w:r>
    </w:p>
    <w:p w14:paraId="5DCA2CCA" w14:textId="77777777" w:rsidR="00420FA4" w:rsidRPr="00E03772" w:rsidRDefault="00420FA4" w:rsidP="00420FA4">
      <w:pPr>
        <w:rPr>
          <w:rFonts w:cstheme="minorHAnsi"/>
          <w:lang w:eastAsia="en-AU"/>
        </w:rPr>
      </w:pPr>
      <w:r w:rsidRPr="00E03772">
        <w:rPr>
          <w:rFonts w:cstheme="minorHAnsi"/>
          <w:lang w:eastAsia="en-AU"/>
        </w:rPr>
        <w:t xml:space="preserve">This policy will be reviewed triennially, and details recorded as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62"/>
        <w:gridCol w:w="1827"/>
        <w:gridCol w:w="1197"/>
        <w:gridCol w:w="1545"/>
        <w:gridCol w:w="2197"/>
      </w:tblGrid>
      <w:tr w:rsidR="00420FA4" w:rsidRPr="00E03772" w14:paraId="6AE071D8" w14:textId="77777777" w:rsidTr="00F87F0D">
        <w:trPr>
          <w:trHeight w:val="441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0252D6E" w14:textId="77777777" w:rsidR="00420FA4" w:rsidRPr="00E03772" w:rsidRDefault="00420FA4" w:rsidP="00F87F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Version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1D4CABF5" w14:textId="77777777" w:rsidR="00420FA4" w:rsidRPr="00E03772" w:rsidRDefault="00420FA4" w:rsidP="00F87F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Date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16D8510" w14:textId="77777777" w:rsidR="00420FA4" w:rsidRPr="00E03772" w:rsidRDefault="00420FA4" w:rsidP="00F87F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Author/s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01966CFD" w14:textId="77777777" w:rsidR="00420FA4" w:rsidRPr="00E03772" w:rsidRDefault="00420FA4" w:rsidP="00F87F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Approved by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02DFE5E7" w14:textId="77777777" w:rsidR="00420FA4" w:rsidRPr="00E03772" w:rsidRDefault="00420FA4" w:rsidP="00F87F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Review Date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6283870A" w14:textId="77777777" w:rsidR="00420FA4" w:rsidRPr="00E03772" w:rsidRDefault="00420FA4" w:rsidP="00F87F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Comments</w:t>
            </w:r>
          </w:p>
        </w:tc>
      </w:tr>
      <w:tr w:rsidR="00420FA4" w:rsidRPr="00E03772" w14:paraId="34EFC5C4" w14:textId="77777777" w:rsidTr="00F87F0D">
        <w:tc>
          <w:tcPr>
            <w:tcW w:w="988" w:type="dxa"/>
          </w:tcPr>
          <w:p w14:paraId="3F7C4994" w14:textId="77777777" w:rsidR="00420FA4" w:rsidRPr="00E03772" w:rsidRDefault="00420FA4" w:rsidP="00F87F0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1262" w:type="dxa"/>
          </w:tcPr>
          <w:p w14:paraId="1E1F9200" w14:textId="77777777" w:rsidR="00420FA4" w:rsidRPr="00E03772" w:rsidRDefault="00420FA4" w:rsidP="00F87F0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1827" w:type="dxa"/>
          </w:tcPr>
          <w:p w14:paraId="3C30DEAB" w14:textId="77777777" w:rsidR="00420FA4" w:rsidRPr="00E03772" w:rsidRDefault="00420FA4" w:rsidP="00F87F0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1197" w:type="dxa"/>
          </w:tcPr>
          <w:p w14:paraId="39DB29B4" w14:textId="77777777" w:rsidR="00420FA4" w:rsidRPr="00E03772" w:rsidRDefault="00420FA4" w:rsidP="00F87F0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1545" w:type="dxa"/>
          </w:tcPr>
          <w:p w14:paraId="27DBA13A" w14:textId="77777777" w:rsidR="00420FA4" w:rsidRPr="00E03772" w:rsidRDefault="00420FA4" w:rsidP="00F87F0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2197" w:type="dxa"/>
          </w:tcPr>
          <w:p w14:paraId="2FC508CF" w14:textId="77777777" w:rsidR="00420FA4" w:rsidRPr="00E03772" w:rsidRDefault="00420FA4" w:rsidP="00F87F0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NZ"/>
              </w:rPr>
            </w:pPr>
          </w:p>
        </w:tc>
      </w:tr>
    </w:tbl>
    <w:p w14:paraId="6D82BE80" w14:textId="77777777" w:rsidR="00420FA4" w:rsidRPr="00E03772" w:rsidRDefault="00420FA4" w:rsidP="00420FA4">
      <w:pPr>
        <w:rPr>
          <w:rStyle w:val="normaltextrun"/>
          <w:rFonts w:cstheme="minorHAnsi"/>
          <w:lang w:eastAsia="en-AU"/>
        </w:rPr>
      </w:pPr>
    </w:p>
    <w:p w14:paraId="0006EDD9" w14:textId="3EE30696" w:rsidR="00F26473" w:rsidRPr="00420FA4" w:rsidRDefault="00420FA4" w:rsidP="00420FA4">
      <w:pPr>
        <w:pStyle w:val="ListParagraph"/>
        <w:numPr>
          <w:ilvl w:val="0"/>
          <w:numId w:val="36"/>
        </w:numPr>
        <w:ind w:left="0"/>
        <w:rPr>
          <w:rFonts w:eastAsiaTheme="minorEastAsia" w:cstheme="minorHAnsi"/>
          <w:b/>
          <w:iCs/>
          <w:sz w:val="24"/>
          <w:szCs w:val="24"/>
        </w:rPr>
      </w:pPr>
      <w:r w:rsidRPr="00E03772">
        <w:rPr>
          <w:rStyle w:val="normaltextrun"/>
          <w:rFonts w:eastAsiaTheme="minorEastAsia" w:cstheme="minorHAnsi"/>
          <w:b/>
          <w:iCs/>
          <w:sz w:val="24"/>
          <w:szCs w:val="24"/>
        </w:rPr>
        <w:t>Purpose</w:t>
      </w:r>
    </w:p>
    <w:p w14:paraId="669A5346" w14:textId="26808DF2" w:rsidR="00871B57" w:rsidRDefault="006C184C" w:rsidP="00420FA4">
      <w:pPr>
        <w:rPr>
          <w:iCs/>
          <w:color w:val="000000"/>
          <w:lang w:eastAsia="en-AU"/>
        </w:rPr>
      </w:pPr>
      <w:r w:rsidRPr="00420FA4">
        <w:rPr>
          <w:iCs/>
          <w:color w:val="000000"/>
          <w:lang w:eastAsia="en-AU"/>
        </w:rPr>
        <w:t>[ORGANISATION] undertakes emergency management activities as</w:t>
      </w:r>
      <w:r w:rsidR="0058290F" w:rsidRPr="00420FA4">
        <w:rPr>
          <w:iCs/>
          <w:color w:val="000000"/>
          <w:lang w:eastAsia="en-AU"/>
        </w:rPr>
        <w:t xml:space="preserve"> part of its contribution to the aid and development sector. </w:t>
      </w:r>
      <w:r w:rsidR="000778D4">
        <w:rPr>
          <w:iCs/>
          <w:color w:val="000000"/>
          <w:lang w:eastAsia="en-AU"/>
        </w:rPr>
        <w:t xml:space="preserve">[ORGANISATION] believe providing humanitarian assistance </w:t>
      </w:r>
      <w:r w:rsidR="00F41044">
        <w:rPr>
          <w:iCs/>
          <w:color w:val="000000"/>
          <w:lang w:eastAsia="en-AU"/>
        </w:rPr>
        <w:t>is of critical importance to alleviate human suffering in times of crisis</w:t>
      </w:r>
      <w:r w:rsidR="0009177B">
        <w:rPr>
          <w:iCs/>
          <w:color w:val="000000"/>
          <w:lang w:eastAsia="en-AU"/>
        </w:rPr>
        <w:t xml:space="preserve"> and access to humanitarian assistance is a fundamental human right. </w:t>
      </w:r>
      <w:r w:rsidR="005416F3" w:rsidRPr="00420FA4">
        <w:rPr>
          <w:iCs/>
          <w:color w:val="000000"/>
          <w:lang w:eastAsia="en-AU"/>
        </w:rPr>
        <w:t xml:space="preserve">Through </w:t>
      </w:r>
      <w:r w:rsidR="00627886" w:rsidRPr="00420FA4">
        <w:rPr>
          <w:iCs/>
          <w:color w:val="000000"/>
          <w:lang w:eastAsia="en-AU"/>
        </w:rPr>
        <w:t xml:space="preserve">coordination with partners and third parties, [ORGANISATION] </w:t>
      </w:r>
      <w:r w:rsidR="000265B7" w:rsidRPr="00420FA4">
        <w:rPr>
          <w:iCs/>
          <w:color w:val="000000"/>
          <w:lang w:eastAsia="en-AU"/>
        </w:rPr>
        <w:t>provides humanitarian assistance in</w:t>
      </w:r>
      <w:r w:rsidR="00085B35" w:rsidRPr="00420FA4">
        <w:rPr>
          <w:iCs/>
          <w:color w:val="000000"/>
          <w:lang w:eastAsia="en-AU"/>
        </w:rPr>
        <w:t xml:space="preserve"> natural disaster emergency situations according to internationally agreed standards and principles of ethical practice. </w:t>
      </w:r>
    </w:p>
    <w:p w14:paraId="576C1207" w14:textId="049E52BB" w:rsidR="00871B57" w:rsidRPr="00420FA4" w:rsidRDefault="006A57C7" w:rsidP="00420FA4">
      <w:pPr>
        <w:pStyle w:val="ListParagraph"/>
        <w:numPr>
          <w:ilvl w:val="0"/>
          <w:numId w:val="36"/>
        </w:numPr>
        <w:ind w:left="0"/>
        <w:rPr>
          <w:b/>
          <w:sz w:val="24"/>
          <w:szCs w:val="24"/>
        </w:rPr>
      </w:pPr>
      <w:r w:rsidRPr="00420FA4">
        <w:rPr>
          <w:b/>
          <w:sz w:val="24"/>
          <w:szCs w:val="24"/>
        </w:rPr>
        <w:t>Scope</w:t>
      </w:r>
    </w:p>
    <w:p w14:paraId="5F8C1A45" w14:textId="2B90991B" w:rsidR="00C610F8" w:rsidRPr="00420FA4" w:rsidRDefault="006A57C7" w:rsidP="00420FA4">
      <w:pPr>
        <w:rPr>
          <w:rFonts w:eastAsia="Segoe UI" w:cstheme="minorHAnsi"/>
          <w:sz w:val="24"/>
          <w:szCs w:val="24"/>
          <w:highlight w:val="yellow"/>
          <w:lang w:val="en-NZ" w:eastAsia="en-NZ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This policy is intended to apply to all 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[ORGANISATION]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="005B7FD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emergency management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activities. This policy is applicable to all 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[ORGANISATION]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personnel. This policy also extends to 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[ORGANISATION]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partners and associates.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ADA8422" w14:textId="19C5A172" w:rsidR="00D866C3" w:rsidRPr="00420FA4" w:rsidRDefault="76929D66" w:rsidP="00420FA4">
      <w:pPr>
        <w:pStyle w:val="ListParagraph"/>
        <w:numPr>
          <w:ilvl w:val="0"/>
          <w:numId w:val="36"/>
        </w:numPr>
        <w:ind w:left="0"/>
        <w:rPr>
          <w:b/>
          <w:sz w:val="24"/>
          <w:szCs w:val="24"/>
        </w:rPr>
      </w:pPr>
      <w:r w:rsidRPr="00420FA4">
        <w:rPr>
          <w:b/>
          <w:sz w:val="24"/>
          <w:szCs w:val="24"/>
        </w:rPr>
        <w:t>Definitions</w:t>
      </w:r>
    </w:p>
    <w:p w14:paraId="0BB4767E" w14:textId="12F04478" w:rsidR="00864F4A" w:rsidRPr="00864F4A" w:rsidRDefault="00864F4A" w:rsidP="00420FA4">
      <w:pPr>
        <w:rPr>
          <w:b/>
          <w:bCs/>
          <w:lang w:eastAsia="en-AU"/>
        </w:rPr>
      </w:pPr>
      <w:r w:rsidRPr="00864F4A">
        <w:rPr>
          <w:b/>
          <w:bCs/>
        </w:rPr>
        <w:t>Disaster:</w:t>
      </w:r>
      <w:r w:rsidRPr="00864F4A">
        <w:t xml:space="preserve"> A disaster is a calamitous event resulting in loss of life, great human suffering and distress, and large-scale material damage.</w:t>
      </w:r>
    </w:p>
    <w:p w14:paraId="2F0B6D7D" w14:textId="502CFD75" w:rsidR="003D3047" w:rsidRDefault="003D3047" w:rsidP="00420FA4">
      <w:pPr>
        <w:rPr>
          <w:lang w:eastAsia="en-AU"/>
        </w:rPr>
      </w:pPr>
      <w:r w:rsidRPr="00420FA4">
        <w:rPr>
          <w:b/>
          <w:bCs/>
          <w:lang w:eastAsia="en-AU"/>
        </w:rPr>
        <w:t>Emergency Management:</w:t>
      </w:r>
      <w:r w:rsidRPr="00481B19">
        <w:rPr>
          <w:lang w:eastAsia="en-AU"/>
        </w:rPr>
        <w:t xml:space="preserve"> Involves plans, structures and arrangements established to engage the normal </w:t>
      </w:r>
      <w:r w:rsidR="00A433FC" w:rsidRPr="00481B19">
        <w:rPr>
          <w:lang w:eastAsia="en-AU"/>
        </w:rPr>
        <w:t xml:space="preserve">endeavours of government, voluntary and private agencies in a comprehensive and coordinated way to respond to the whole spectrum of humanitarian needs in relation to </w:t>
      </w:r>
      <w:r w:rsidR="00A433FC" w:rsidRPr="00481B19">
        <w:rPr>
          <w:lang w:eastAsia="en-AU"/>
        </w:rPr>
        <w:lastRenderedPageBreak/>
        <w:t xml:space="preserve">humanitarian emergencies. This includes preparedness, mitigation, response, rehabilitation, reconstruction, development and prevention activities. </w:t>
      </w:r>
    </w:p>
    <w:p w14:paraId="69045C46" w14:textId="77777777" w:rsidR="00556277" w:rsidRPr="00481B19" w:rsidRDefault="00556277" w:rsidP="00420FA4">
      <w:pPr>
        <w:rPr>
          <w:lang w:eastAsia="en-AU"/>
        </w:rPr>
      </w:pPr>
    </w:p>
    <w:p w14:paraId="799CFE42" w14:textId="53EBFC84" w:rsidR="00370EE3" w:rsidRPr="00420FA4" w:rsidRDefault="00370EE3" w:rsidP="00420FA4">
      <w:pPr>
        <w:rPr>
          <w:bCs/>
          <w:color w:val="FFFFFF" w:themeColor="background1"/>
          <w:sz w:val="28"/>
          <w:szCs w:val="28"/>
          <w:lang w:eastAsia="en-AU"/>
        </w:rPr>
      </w:pPr>
      <w:r w:rsidRPr="00420FA4">
        <w:rPr>
          <w:b/>
          <w:bCs/>
          <w:color w:val="FFFFFF" w:themeColor="background1"/>
          <w:sz w:val="28"/>
          <w:szCs w:val="28"/>
        </w:rPr>
        <w:t>International Standards</w:t>
      </w:r>
    </w:p>
    <w:p w14:paraId="4DDFD4D6" w14:textId="77777777" w:rsidR="00F26473" w:rsidRPr="00420FA4" w:rsidRDefault="00F26473" w:rsidP="00420FA4"/>
    <w:p w14:paraId="42516AD0" w14:textId="65B9D185" w:rsidR="00CB2FEF" w:rsidRDefault="002D0A65" w:rsidP="00420FA4">
      <w:r w:rsidRPr="00420FA4">
        <w:t xml:space="preserve">[ORGANISATION] is committed to ensuring all emergency management processes </w:t>
      </w:r>
      <w:r w:rsidR="009501D6" w:rsidRPr="00420FA4">
        <w:t xml:space="preserve">follow internationally recognised best practice and ethical guidelines. </w:t>
      </w:r>
      <w:r w:rsidR="00063282" w:rsidRPr="00420FA4">
        <w:t xml:space="preserve">This will involve the </w:t>
      </w:r>
      <w:r w:rsidR="008515CC" w:rsidRPr="00420FA4">
        <w:t xml:space="preserve">understanding and </w:t>
      </w:r>
      <w:r w:rsidR="00063282" w:rsidRPr="00420FA4">
        <w:t xml:space="preserve">incorporation of </w:t>
      </w:r>
      <w:r w:rsidR="00156548" w:rsidRPr="00420FA4">
        <w:t>the ‘International Red Cross</w:t>
      </w:r>
      <w:r w:rsidR="00BB3CEC" w:rsidRPr="00420FA4">
        <w:t xml:space="preserve"> and </w:t>
      </w:r>
      <w:r w:rsidR="00156548" w:rsidRPr="00420FA4">
        <w:t>Red Crescent Movement and NGOs in Disaster Relie</w:t>
      </w:r>
      <w:r w:rsidR="00BB3CEC" w:rsidRPr="00420FA4">
        <w:t>f Code of Conduct’</w:t>
      </w:r>
      <w:r w:rsidR="008515CC" w:rsidRPr="00420FA4">
        <w:t xml:space="preserve"> principles into our work. </w:t>
      </w:r>
      <w:r w:rsidR="00876791" w:rsidRPr="00420FA4">
        <w:t>We also adhere to the Sphere Humanitarian Charter</w:t>
      </w:r>
      <w:r w:rsidR="00093BA5" w:rsidRPr="00420FA4">
        <w:t>,</w:t>
      </w:r>
      <w:r w:rsidR="00362957">
        <w:t xml:space="preserve"> Core Humanitarian Standard</w:t>
      </w:r>
      <w:r w:rsidR="00B33A6E">
        <w:t xml:space="preserve"> (CHS)</w:t>
      </w:r>
      <w:r w:rsidR="00362957">
        <w:t>,</w:t>
      </w:r>
      <w:r w:rsidR="00093BA5" w:rsidRPr="00420FA4">
        <w:t xml:space="preserve"> International Humanitarian law</w:t>
      </w:r>
      <w:r w:rsidR="00362957">
        <w:t>,</w:t>
      </w:r>
      <w:r w:rsidR="009A0417">
        <w:t xml:space="preserve"> Human Rights Law, Refugee Law,</w:t>
      </w:r>
      <w:r w:rsidR="00362957">
        <w:t xml:space="preserve"> </w:t>
      </w:r>
      <w:r w:rsidR="00116EDA">
        <w:t>New Zealand law</w:t>
      </w:r>
      <w:r w:rsidR="00362957">
        <w:t xml:space="preserve"> and to </w:t>
      </w:r>
      <w:r w:rsidR="00876791" w:rsidRPr="00420FA4">
        <w:t>related companion documents</w:t>
      </w:r>
      <w:r w:rsidR="005F4168">
        <w:t xml:space="preserve"> (such as the Livestock Emergency Guidelines and Standards (LEGS) and Minimum Standards in Disaster Response)</w:t>
      </w:r>
      <w:r w:rsidR="000002D8" w:rsidRPr="00420FA4">
        <w:t xml:space="preserve"> </w:t>
      </w:r>
      <w:r w:rsidR="00362957">
        <w:t xml:space="preserve">and </w:t>
      </w:r>
      <w:r w:rsidR="000002D8" w:rsidRPr="00420FA4">
        <w:t xml:space="preserve">international conventions. </w:t>
      </w:r>
      <w:r w:rsidR="00F05EBE">
        <w:t xml:space="preserve">We regularly assess our compliance with all relevant regulations and guidelines by: </w:t>
      </w:r>
    </w:p>
    <w:p w14:paraId="05A7BE14" w14:textId="6F0DB275" w:rsidR="00F05EBE" w:rsidRDefault="00497E86" w:rsidP="00420FA4">
      <w:pPr>
        <w:pStyle w:val="ListParagraph"/>
        <w:numPr>
          <w:ilvl w:val="0"/>
          <w:numId w:val="37"/>
        </w:numPr>
      </w:pPr>
      <w:r>
        <w:t xml:space="preserve">Reviewing our systems to ensure we meet the </w:t>
      </w:r>
      <w:r w:rsidR="001F7529">
        <w:t xml:space="preserve">international </w:t>
      </w:r>
      <w:r>
        <w:t xml:space="preserve">emergency management industry standard </w:t>
      </w:r>
    </w:p>
    <w:p w14:paraId="7B843613" w14:textId="6336D664" w:rsidR="001F7529" w:rsidRDefault="001F7529" w:rsidP="00420FA4">
      <w:pPr>
        <w:pStyle w:val="ListParagraph"/>
        <w:numPr>
          <w:ilvl w:val="0"/>
          <w:numId w:val="37"/>
        </w:numPr>
      </w:pPr>
      <w:r>
        <w:t xml:space="preserve">Informing our stakeholders of the relevant emergency management </w:t>
      </w:r>
      <w:r w:rsidR="000B0A5C">
        <w:t>regulations and guidelines through our meetings, website, field manuals</w:t>
      </w:r>
      <w:r w:rsidR="00066904">
        <w:t>, trainings and donor requests</w:t>
      </w:r>
    </w:p>
    <w:p w14:paraId="49CBABB2" w14:textId="4BF0408C" w:rsidR="00767543" w:rsidRDefault="00767543" w:rsidP="00420FA4">
      <w:pPr>
        <w:pStyle w:val="ListParagraph"/>
        <w:numPr>
          <w:ilvl w:val="0"/>
          <w:numId w:val="37"/>
        </w:numPr>
      </w:pPr>
      <w:r>
        <w:t xml:space="preserve">Providing regular trainings to staff, interns, volunteers </w:t>
      </w:r>
      <w:r w:rsidR="00056DE3">
        <w:t xml:space="preserve">and other individuals working in tandem with our organisation </w:t>
      </w:r>
    </w:p>
    <w:p w14:paraId="5AE90F9A" w14:textId="1142F252" w:rsidR="0082509B" w:rsidRDefault="0082509B" w:rsidP="00420FA4">
      <w:pPr>
        <w:pStyle w:val="ListParagraph"/>
        <w:numPr>
          <w:ilvl w:val="0"/>
          <w:numId w:val="37"/>
        </w:numPr>
      </w:pPr>
      <w:r>
        <w:t>Should our organisation need to distribute pharmaceuticals and other donations, we effectively follow the principles embodied in guidelines covering drug donations to developing countries. This includes</w:t>
      </w:r>
      <w:r w:rsidR="009957EB">
        <w:t xml:space="preserve">: </w:t>
      </w:r>
    </w:p>
    <w:p w14:paraId="0B85DB0F" w14:textId="10F71BE4" w:rsidR="005D2F5D" w:rsidRDefault="00785BBC" w:rsidP="00420FA4">
      <w:pPr>
        <w:pStyle w:val="ListParagraph"/>
        <w:numPr>
          <w:ilvl w:val="0"/>
          <w:numId w:val="37"/>
        </w:numPr>
      </w:pPr>
      <w:r>
        <w:t xml:space="preserve">Ensuring </w:t>
      </w:r>
      <w:r w:rsidR="005D2F5D">
        <w:t xml:space="preserve">prior consent is obtained before distributing </w:t>
      </w:r>
    </w:p>
    <w:p w14:paraId="72F5B58B" w14:textId="205322B9" w:rsidR="005D2F5D" w:rsidRDefault="00603E8D" w:rsidP="00420FA4">
      <w:pPr>
        <w:pStyle w:val="ListParagraph"/>
        <w:numPr>
          <w:ilvl w:val="0"/>
          <w:numId w:val="37"/>
        </w:numPr>
      </w:pPr>
      <w:r>
        <w:t xml:space="preserve">Verifying whether any pharmaceuticals are on the list of essential drugs of the recipient country, or if no such list exists, </w:t>
      </w:r>
      <w:r w:rsidR="00CF78A2">
        <w:t xml:space="preserve">the WHO Model List of Essential </w:t>
      </w:r>
      <w:r w:rsidR="00275DDA">
        <w:t>Medicines</w:t>
      </w:r>
    </w:p>
    <w:p w14:paraId="3067CF87" w14:textId="68C40A78" w:rsidR="003649E4" w:rsidRDefault="003649E4" w:rsidP="00420FA4">
      <w:pPr>
        <w:pStyle w:val="ListParagraph"/>
        <w:numPr>
          <w:ilvl w:val="0"/>
          <w:numId w:val="37"/>
        </w:numPr>
      </w:pPr>
      <w:r>
        <w:t>Ensuring any pharmaceuticals comply with the recipient country’s quality standards and are authorised for use in the recipient country</w:t>
      </w:r>
    </w:p>
    <w:p w14:paraId="124578CC" w14:textId="77777777" w:rsidR="00420FA4" w:rsidRPr="00420FA4" w:rsidRDefault="003649E4" w:rsidP="00420FA4">
      <w:pPr>
        <w:pStyle w:val="ListParagraph"/>
        <w:numPr>
          <w:ilvl w:val="0"/>
          <w:numId w:val="37"/>
        </w:numPr>
        <w:rPr>
          <w:b/>
        </w:rPr>
      </w:pPr>
      <w:r w:rsidRPr="003649E4">
        <w:t xml:space="preserve">Ensuring all </w:t>
      </w:r>
      <w:r w:rsidRPr="00420FA4">
        <w:t>donated pharmaceuticals do not expire within 12 months upon arrival to the recipient country</w:t>
      </w:r>
    </w:p>
    <w:p w14:paraId="77893C91" w14:textId="77777777" w:rsidR="00420FA4" w:rsidRPr="00420FA4" w:rsidRDefault="00420FA4" w:rsidP="00420FA4">
      <w:pPr>
        <w:pStyle w:val="ListParagraph"/>
        <w:rPr>
          <w:b/>
        </w:rPr>
      </w:pPr>
    </w:p>
    <w:p w14:paraId="1409B416" w14:textId="17884160" w:rsidR="00F33291" w:rsidRPr="00420FA4" w:rsidRDefault="005C75CD" w:rsidP="00420FA4">
      <w:pPr>
        <w:pStyle w:val="ListParagraph"/>
        <w:numPr>
          <w:ilvl w:val="0"/>
          <w:numId w:val="36"/>
        </w:numPr>
        <w:ind w:left="0"/>
        <w:rPr>
          <w:rStyle w:val="normaltextrun"/>
          <w:b/>
        </w:rPr>
      </w:pPr>
      <w:r w:rsidRPr="00420FA4">
        <w:rPr>
          <w:rStyle w:val="normaltextrun"/>
          <w:rFonts w:eastAsia="Calibri,Segoe UI"/>
          <w:b/>
          <w:sz w:val="24"/>
          <w:szCs w:val="24"/>
          <w:lang w:val="en-NZ"/>
        </w:rPr>
        <w:t>Coordination with other actors</w:t>
      </w:r>
    </w:p>
    <w:p w14:paraId="45CEDF0B" w14:textId="11A03BD1" w:rsidR="007D43AC" w:rsidRDefault="00F33291" w:rsidP="00420FA4">
      <w:pPr>
        <w:rPr>
          <w:rStyle w:val="normaltextrun"/>
          <w:rFonts w:eastAsia="Calibri,Segoe UI"/>
          <w:sz w:val="24"/>
          <w:szCs w:val="24"/>
          <w:lang w:val="en-NZ"/>
        </w:rPr>
      </w:pPr>
      <w:r w:rsidRPr="00420FA4">
        <w:rPr>
          <w:rStyle w:val="normaltextrun"/>
          <w:rFonts w:eastAsia="Calibri,Segoe UI"/>
          <w:sz w:val="24"/>
          <w:szCs w:val="24"/>
          <w:lang w:val="en-NZ"/>
        </w:rPr>
        <w:t xml:space="preserve">[ORGANISATION] will engage collaboratively with like-minded partners and third parties throughout the emergency management process, to provide high quality humanitarian relief. </w:t>
      </w:r>
      <w:r w:rsidR="00F559E6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We recognise </w:t>
      </w:r>
      <w:r w:rsidR="00F653E4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developing robust </w:t>
      </w:r>
      <w:r w:rsidR="00602E2F" w:rsidRPr="28436CA0">
        <w:rPr>
          <w:rStyle w:val="normaltextrun"/>
          <w:rFonts w:eastAsia="Calibri,Segoe UI"/>
          <w:sz w:val="24"/>
          <w:szCs w:val="24"/>
          <w:lang w:val="en-NZ"/>
        </w:rPr>
        <w:t>arrangements with other actors improves aid effectiveness</w:t>
      </w:r>
      <w:r w:rsidR="00EA111E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, as outlined in </w:t>
      </w:r>
      <w:r w:rsidR="00B617A2" w:rsidRPr="28436CA0">
        <w:rPr>
          <w:rStyle w:val="normaltextrun"/>
          <w:rFonts w:eastAsia="Calibri,Segoe UI"/>
          <w:sz w:val="24"/>
          <w:szCs w:val="24"/>
          <w:lang w:val="en-NZ"/>
        </w:rPr>
        <w:t>cornerstone</w:t>
      </w:r>
      <w:r w:rsidR="008B2EBB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 statements like the</w:t>
      </w:r>
      <w:r w:rsidR="00EA111E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 Paris Declaration, the Accra Agenda for Action and the Busan Outcome Statement. </w:t>
      </w:r>
      <w:r w:rsidR="00107F93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These arrangements can involve government, </w:t>
      </w:r>
      <w:r w:rsidR="00E804F4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voluntary personnel, private agencies, </w:t>
      </w:r>
      <w:r w:rsidR="00045735" w:rsidRPr="28436CA0">
        <w:rPr>
          <w:rStyle w:val="normaltextrun"/>
          <w:rFonts w:eastAsia="Calibri,Segoe UI"/>
          <w:sz w:val="24"/>
          <w:szCs w:val="24"/>
          <w:lang w:val="en-NZ"/>
        </w:rPr>
        <w:t>intergovernmental organisations (such as the United Nations)</w:t>
      </w:r>
      <w:r w:rsidR="0074144E" w:rsidRPr="28436CA0">
        <w:rPr>
          <w:rStyle w:val="normaltextrun"/>
          <w:rFonts w:eastAsia="Calibri,Segoe UI"/>
          <w:sz w:val="24"/>
          <w:szCs w:val="24"/>
          <w:lang w:val="en-NZ"/>
        </w:rPr>
        <w:t>, donors</w:t>
      </w:r>
      <w:r w:rsidR="0095615D" w:rsidRPr="28436CA0">
        <w:rPr>
          <w:rStyle w:val="normaltextrun"/>
          <w:rFonts w:eastAsia="Calibri,Segoe UI"/>
          <w:sz w:val="24"/>
          <w:szCs w:val="24"/>
          <w:lang w:val="en-NZ"/>
        </w:rPr>
        <w:t>, beneficiaries</w:t>
      </w:r>
      <w:r w:rsidR="00EF0CFA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, </w:t>
      </w:r>
      <w:r w:rsidR="0095615D" w:rsidRPr="28436CA0">
        <w:rPr>
          <w:rStyle w:val="normaltextrun"/>
          <w:rFonts w:eastAsia="Calibri,Segoe UI"/>
          <w:sz w:val="24"/>
          <w:szCs w:val="24"/>
          <w:lang w:val="en-NZ"/>
        </w:rPr>
        <w:t>other international development partners like the International Committee of the Red Cross (ICRC)</w:t>
      </w:r>
      <w:r w:rsidR="00EF0CFA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 and any other relevant third parties </w:t>
      </w:r>
      <w:r w:rsidR="00EF0CFA" w:rsidRPr="28436CA0">
        <w:rPr>
          <w:rStyle w:val="normaltextrun"/>
          <w:rFonts w:eastAsia="Calibri,Segoe UI"/>
          <w:sz w:val="24"/>
          <w:szCs w:val="24"/>
          <w:lang w:val="en-NZ"/>
        </w:rPr>
        <w:lastRenderedPageBreak/>
        <w:t>wh</w:t>
      </w:r>
      <w:r w:rsidR="007D43AC" w:rsidRPr="28436CA0">
        <w:rPr>
          <w:rStyle w:val="normaltextrun"/>
          <w:rFonts w:eastAsia="Calibri,Segoe UI"/>
          <w:sz w:val="24"/>
          <w:szCs w:val="24"/>
          <w:lang w:val="en-NZ"/>
        </w:rPr>
        <w:t>o support our mission aims</w:t>
      </w:r>
      <w:r w:rsidR="0095615D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. </w:t>
      </w:r>
      <w:r w:rsidR="00D12C02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Where possible, we work </w:t>
      </w:r>
      <w:r w:rsidR="006A425B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to provide humanitarian relief in conjunction with local capacities. </w:t>
      </w:r>
      <w:r w:rsidR="00CC2FD4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However, [ORGANISATION] </w:t>
      </w:r>
      <w:r w:rsidR="00C4030C" w:rsidRPr="28436CA0">
        <w:rPr>
          <w:rStyle w:val="normaltextrun"/>
          <w:rFonts w:eastAsia="Calibri,Segoe UI"/>
          <w:sz w:val="24"/>
          <w:szCs w:val="24"/>
          <w:lang w:val="en-NZ"/>
        </w:rPr>
        <w:t xml:space="preserve">always seeks to maintain its independence and will not </w:t>
      </w:r>
      <w:r w:rsidR="00E36182" w:rsidRPr="28436CA0">
        <w:rPr>
          <w:rStyle w:val="normaltextrun"/>
          <w:rFonts w:eastAsia="Calibri,Segoe UI"/>
          <w:sz w:val="24"/>
          <w:szCs w:val="24"/>
          <w:lang w:val="en-NZ"/>
        </w:rPr>
        <w:t>become instruments for political, military or economic gain.</w:t>
      </w:r>
    </w:p>
    <w:p w14:paraId="1977B5F7" w14:textId="0C3B5DB4" w:rsidR="00F553FD" w:rsidRDefault="007B0155" w:rsidP="00420FA4">
      <w:pPr>
        <w:rPr>
          <w:rStyle w:val="normaltextrun"/>
          <w:rFonts w:eastAsia="Calibri,Segoe UI" w:cstheme="minorHAnsi"/>
          <w:sz w:val="24"/>
          <w:szCs w:val="24"/>
          <w:lang w:val="en-NZ"/>
        </w:rPr>
      </w:pPr>
      <w:r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Working collaboratively </w:t>
      </w:r>
      <w:r w:rsidR="00F33291"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includes actively communicating with </w:t>
      </w:r>
      <w:r>
        <w:rPr>
          <w:rStyle w:val="normaltextrun"/>
          <w:rFonts w:eastAsia="Calibri,Segoe UI" w:cstheme="minorHAnsi"/>
          <w:sz w:val="24"/>
          <w:szCs w:val="24"/>
          <w:lang w:val="en-NZ"/>
        </w:rPr>
        <w:t>supporting</w:t>
      </w:r>
      <w:r w:rsidR="00F33291"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 </w:t>
      </w:r>
      <w:r w:rsidR="00086AB2">
        <w:rPr>
          <w:rStyle w:val="normaltextrun"/>
          <w:rFonts w:eastAsia="Calibri,Segoe UI" w:cstheme="minorHAnsi"/>
          <w:sz w:val="24"/>
          <w:szCs w:val="24"/>
          <w:lang w:val="en-NZ"/>
        </w:rPr>
        <w:t>partners</w:t>
      </w:r>
      <w:r w:rsidR="00F33291"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 within the mission parameters to develop a comprehensive emergency management plan. The development of this network will allow our organisation to improve its emergency management responses</w:t>
      </w:r>
      <w:r w:rsidR="00086AB2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 and overall disaster relief outcomes. </w:t>
      </w:r>
      <w:r w:rsidR="00E91DDD">
        <w:rPr>
          <w:rStyle w:val="normaltextrun"/>
          <w:rFonts w:eastAsia="Calibri,Segoe UI" w:cstheme="minorHAnsi"/>
          <w:sz w:val="24"/>
          <w:szCs w:val="24"/>
          <w:lang w:val="en-NZ"/>
        </w:rPr>
        <w:t>We a</w:t>
      </w:r>
      <w:r w:rsidR="006F15D7">
        <w:rPr>
          <w:rStyle w:val="normaltextrun"/>
          <w:rFonts w:eastAsia="Calibri,Segoe UI" w:cstheme="minorHAnsi"/>
          <w:sz w:val="24"/>
          <w:szCs w:val="24"/>
          <w:lang w:val="en-NZ"/>
        </w:rPr>
        <w:t>ctively seek methods of expanding our networks by</w:t>
      </w:r>
      <w:r w:rsidR="00420FA4">
        <w:rPr>
          <w:rStyle w:val="normaltextrun"/>
          <w:rFonts w:eastAsia="Calibri,Segoe UI" w:cstheme="minorHAnsi"/>
          <w:sz w:val="24"/>
          <w:szCs w:val="24"/>
          <w:lang w:val="en-NZ"/>
        </w:rPr>
        <w:t>:</w:t>
      </w:r>
    </w:p>
    <w:p w14:paraId="091D8680" w14:textId="3045864C" w:rsidR="006F15D7" w:rsidRPr="00420FA4" w:rsidRDefault="006F15D7" w:rsidP="00420FA4">
      <w:pPr>
        <w:pStyle w:val="ListParagraph"/>
        <w:numPr>
          <w:ilvl w:val="0"/>
          <w:numId w:val="38"/>
        </w:numPr>
        <w:rPr>
          <w:rStyle w:val="normaltextrun"/>
          <w:rFonts w:eastAsia="Calibri,Segoe UI" w:cstheme="minorHAnsi"/>
          <w:sz w:val="24"/>
          <w:szCs w:val="24"/>
          <w:lang w:val="en-NZ"/>
        </w:rPr>
      </w:pPr>
      <w:r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>Requiring field staff to attend a set amount of networking events and reflecting on these events</w:t>
      </w:r>
    </w:p>
    <w:p w14:paraId="2A987015" w14:textId="67257C06" w:rsidR="00420FA4" w:rsidRDefault="005F02D4" w:rsidP="00420FA4">
      <w:pPr>
        <w:pStyle w:val="ListParagraph"/>
        <w:numPr>
          <w:ilvl w:val="0"/>
          <w:numId w:val="38"/>
        </w:numPr>
        <w:rPr>
          <w:rStyle w:val="normaltextrun"/>
          <w:rFonts w:eastAsia="Calibri,Segoe UI" w:cstheme="minorHAnsi"/>
          <w:sz w:val="24"/>
          <w:szCs w:val="24"/>
          <w:lang w:val="en-NZ"/>
        </w:rPr>
      </w:pPr>
      <w:r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Signalling our intent to work collaboratively </w:t>
      </w:r>
      <w:r w:rsidR="00204E74"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directly to relevant actors, on our website and in field manuals and engagement guidelines </w:t>
      </w:r>
    </w:p>
    <w:p w14:paraId="2413CFB1" w14:textId="77777777" w:rsidR="00420FA4" w:rsidRPr="00420FA4" w:rsidRDefault="00420FA4" w:rsidP="00420FA4">
      <w:pPr>
        <w:pStyle w:val="ListParagraph"/>
        <w:rPr>
          <w:rStyle w:val="normaltextrun"/>
          <w:rFonts w:eastAsia="Calibri,Segoe UI" w:cstheme="minorHAnsi"/>
          <w:sz w:val="24"/>
          <w:szCs w:val="24"/>
          <w:lang w:val="en-NZ"/>
        </w:rPr>
      </w:pPr>
    </w:p>
    <w:p w14:paraId="7CAEBDEC" w14:textId="58E6C5C5" w:rsidR="00F553FD" w:rsidRPr="00420FA4" w:rsidRDefault="00B66347" w:rsidP="00420FA4">
      <w:pPr>
        <w:pStyle w:val="ListParagraph"/>
        <w:numPr>
          <w:ilvl w:val="0"/>
          <w:numId w:val="36"/>
        </w:numPr>
        <w:ind w:left="0"/>
        <w:rPr>
          <w:rStyle w:val="normaltextrun"/>
          <w:rFonts w:eastAsia="Calibri,Segoe UI"/>
          <w:b/>
          <w:lang w:val="en-NZ"/>
        </w:rPr>
      </w:pPr>
      <w:r w:rsidRPr="00420FA4">
        <w:rPr>
          <w:rStyle w:val="normaltextrun"/>
          <w:rFonts w:eastAsia="Calibri,Segoe UI"/>
          <w:b/>
          <w:lang w:val="en-NZ"/>
        </w:rPr>
        <w:t>Resources</w:t>
      </w:r>
    </w:p>
    <w:p w14:paraId="3108C082" w14:textId="3F72F0E4" w:rsidR="003D5B23" w:rsidRPr="00420FA4" w:rsidRDefault="003D5B23" w:rsidP="00420FA4">
      <w:pPr>
        <w:pStyle w:val="ListParagraph"/>
        <w:numPr>
          <w:ilvl w:val="0"/>
          <w:numId w:val="39"/>
        </w:numPr>
        <w:rPr>
          <w:rStyle w:val="normaltextrun"/>
          <w:rFonts w:eastAsia="Calibri,Segoe UI" w:cstheme="minorHAnsi"/>
          <w:sz w:val="24"/>
          <w:szCs w:val="24"/>
          <w:lang w:val="en-NZ"/>
        </w:rPr>
      </w:pPr>
      <w:r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Core Humanitarian Standard (CHS) - </w:t>
      </w:r>
      <w:hyperlink r:id="rId12" w:history="1">
        <w:r w:rsidR="00C331C2" w:rsidRPr="00420FA4">
          <w:rPr>
            <w:rStyle w:val="Hyperlink"/>
            <w:sz w:val="24"/>
            <w:szCs w:val="24"/>
          </w:rPr>
          <w:t>https://corehumanitarianstandard.org/the-standard</w:t>
        </w:r>
      </w:hyperlink>
    </w:p>
    <w:p w14:paraId="20B054B3" w14:textId="5C25CBD0" w:rsidR="00B66347" w:rsidRPr="00420FA4" w:rsidRDefault="00B66347" w:rsidP="00420FA4">
      <w:pPr>
        <w:pStyle w:val="ListParagraph"/>
        <w:numPr>
          <w:ilvl w:val="0"/>
          <w:numId w:val="39"/>
        </w:numPr>
        <w:rPr>
          <w:rStyle w:val="normaltextrun"/>
          <w:rFonts w:eastAsia="Calibri,Segoe UI" w:cstheme="minorHAnsi"/>
          <w:sz w:val="24"/>
          <w:szCs w:val="24"/>
          <w:lang w:val="en-NZ"/>
        </w:rPr>
      </w:pPr>
      <w:r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>Paris Declaration</w:t>
      </w:r>
      <w:r w:rsidR="001813C4"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 on Aid Effectiveness and Accra Agenda for Action - </w:t>
      </w:r>
      <w:hyperlink r:id="rId13" w:history="1">
        <w:r w:rsidR="001813C4" w:rsidRPr="00420FA4">
          <w:rPr>
            <w:rStyle w:val="Hyperlink"/>
            <w:sz w:val="24"/>
            <w:szCs w:val="24"/>
          </w:rPr>
          <w:t>http://www.oecd.org/dac/effectiveness/34428351.pdf</w:t>
        </w:r>
      </w:hyperlink>
    </w:p>
    <w:p w14:paraId="3ED1DF59" w14:textId="0DAB8E64" w:rsidR="0094429A" w:rsidRPr="00420FA4" w:rsidRDefault="0094429A" w:rsidP="00420FA4">
      <w:pPr>
        <w:pStyle w:val="ListParagraph"/>
        <w:numPr>
          <w:ilvl w:val="0"/>
          <w:numId w:val="39"/>
        </w:numPr>
        <w:rPr>
          <w:rStyle w:val="normaltextrun"/>
          <w:rFonts w:eastAsia="Calibri,Segoe UI" w:cstheme="minorHAnsi"/>
          <w:sz w:val="24"/>
          <w:szCs w:val="24"/>
          <w:lang w:val="en-NZ"/>
        </w:rPr>
      </w:pPr>
      <w:r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>Red Cross Code of Conduct</w:t>
      </w:r>
      <w:r w:rsidR="008526C4"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: </w:t>
      </w:r>
      <w:hyperlink r:id="rId14" w:history="1">
        <w:r w:rsidR="008526C4" w:rsidRPr="00420FA4">
          <w:rPr>
            <w:rStyle w:val="Hyperlink"/>
            <w:sz w:val="24"/>
            <w:szCs w:val="24"/>
          </w:rPr>
          <w:t>https://www.icrc.org/en/doc/assets/files/publications/icrc-002-1067.pdf</w:t>
        </w:r>
      </w:hyperlink>
    </w:p>
    <w:p w14:paraId="18D0D9A3" w14:textId="640AB354" w:rsidR="00FC4FC3" w:rsidRPr="00420FA4" w:rsidRDefault="00FC4FC3" w:rsidP="00420FA4">
      <w:pPr>
        <w:pStyle w:val="ListParagraph"/>
        <w:numPr>
          <w:ilvl w:val="0"/>
          <w:numId w:val="39"/>
        </w:numPr>
        <w:rPr>
          <w:rStyle w:val="normaltextrun"/>
          <w:rFonts w:eastAsia="Calibri,Segoe UI" w:cstheme="minorHAnsi"/>
          <w:sz w:val="24"/>
          <w:szCs w:val="24"/>
          <w:lang w:val="en-NZ"/>
        </w:rPr>
      </w:pPr>
      <w:r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Safety with Dignity </w:t>
      </w:r>
      <w:r w:rsidR="000A3B3C"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- </w:t>
      </w:r>
      <w:hyperlink r:id="rId15" w:history="1">
        <w:r w:rsidR="000A3B3C" w:rsidRPr="00420FA4">
          <w:rPr>
            <w:rStyle w:val="Hyperlink"/>
            <w:sz w:val="24"/>
            <w:szCs w:val="24"/>
          </w:rPr>
          <w:t>https://drc.ngo/media/2113379/actionaid_safety-with-dignity.pdf</w:t>
        </w:r>
      </w:hyperlink>
    </w:p>
    <w:p w14:paraId="6E7682EF" w14:textId="0500FBB2" w:rsidR="0094429A" w:rsidRPr="00420FA4" w:rsidRDefault="0094429A" w:rsidP="00420FA4">
      <w:pPr>
        <w:pStyle w:val="ListParagraph"/>
        <w:numPr>
          <w:ilvl w:val="0"/>
          <w:numId w:val="39"/>
        </w:numPr>
        <w:rPr>
          <w:rStyle w:val="normaltextrun"/>
          <w:rFonts w:eastAsia="Calibri,Segoe UI" w:cstheme="minorHAnsi"/>
          <w:sz w:val="24"/>
          <w:szCs w:val="24"/>
          <w:lang w:val="en-NZ"/>
        </w:rPr>
      </w:pPr>
      <w:r w:rsidRPr="00420FA4">
        <w:rPr>
          <w:rStyle w:val="normaltextrun"/>
          <w:rFonts w:eastAsia="Calibri,Segoe UI" w:cstheme="minorHAnsi"/>
          <w:sz w:val="24"/>
          <w:szCs w:val="24"/>
          <w:lang w:val="en-NZ"/>
        </w:rPr>
        <w:t xml:space="preserve">Sphere Standards – </w:t>
      </w:r>
      <w:hyperlink r:id="rId16" w:anchor="ch001" w:history="1">
        <w:r w:rsidR="00EB1BEB" w:rsidRPr="00420FA4">
          <w:rPr>
            <w:rStyle w:val="Hyperlink"/>
            <w:sz w:val="24"/>
            <w:szCs w:val="24"/>
          </w:rPr>
          <w:t>https://handbook.spherestandards.org/en/sphere/#ch001</w:t>
        </w:r>
      </w:hyperlink>
    </w:p>
    <w:p w14:paraId="2262B5B5" w14:textId="77777777" w:rsidR="00B66347" w:rsidRPr="00F553FD" w:rsidRDefault="00B66347" w:rsidP="00420FA4">
      <w:pPr>
        <w:rPr>
          <w:rFonts w:eastAsia="Calibri,Segoe UI"/>
          <w:lang w:val="en-NZ"/>
        </w:rPr>
      </w:pPr>
    </w:p>
    <w:sectPr w:rsidR="00B66347" w:rsidRPr="00F553F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B9851" w14:textId="77777777" w:rsidR="00907DE8" w:rsidRDefault="00907DE8" w:rsidP="008B217C">
      <w:pPr>
        <w:spacing w:after="0" w:line="240" w:lineRule="auto"/>
      </w:pPr>
      <w:r>
        <w:separator/>
      </w:r>
    </w:p>
  </w:endnote>
  <w:endnote w:type="continuationSeparator" w:id="0">
    <w:p w14:paraId="2ACD034E" w14:textId="77777777" w:rsidR="00907DE8" w:rsidRDefault="00907DE8" w:rsidP="008B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Segoe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7787" w14:textId="77777777" w:rsidR="002B3E64" w:rsidRDefault="002B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FA3D" w14:textId="77777777" w:rsidR="002B3E64" w:rsidRDefault="002B3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C960" w14:textId="77777777" w:rsidR="002B3E64" w:rsidRDefault="002B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2FEBC" w14:textId="77777777" w:rsidR="00907DE8" w:rsidRDefault="00907DE8" w:rsidP="008B217C">
      <w:pPr>
        <w:spacing w:after="0" w:line="240" w:lineRule="auto"/>
      </w:pPr>
      <w:r>
        <w:separator/>
      </w:r>
    </w:p>
  </w:footnote>
  <w:footnote w:type="continuationSeparator" w:id="0">
    <w:p w14:paraId="2D635015" w14:textId="77777777" w:rsidR="00907DE8" w:rsidRDefault="00907DE8" w:rsidP="008B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A035" w14:textId="77777777" w:rsidR="002B3E64" w:rsidRDefault="002B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281083"/>
      <w:docPartObj>
        <w:docPartGallery w:val="Watermarks"/>
        <w:docPartUnique/>
      </w:docPartObj>
    </w:sdtPr>
    <w:sdtEndPr/>
    <w:sdtContent>
      <w:p w14:paraId="2F2C068C" w14:textId="77777777" w:rsidR="002B3E64" w:rsidRDefault="00907DE8">
        <w:pPr>
          <w:pStyle w:val="Header"/>
        </w:pPr>
        <w:r>
          <w:rPr>
            <w:noProof/>
            <w:lang w:val="en-US"/>
          </w:rPr>
          <w:pict w14:anchorId="4645DB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75786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#70ad47 [3209]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C2492" w14:textId="77777777" w:rsidR="002B3E64" w:rsidRDefault="002B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F23"/>
    <w:multiLevelType w:val="hybridMultilevel"/>
    <w:tmpl w:val="0FF48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BAF"/>
    <w:multiLevelType w:val="hybridMultilevel"/>
    <w:tmpl w:val="74185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A20"/>
    <w:multiLevelType w:val="hybridMultilevel"/>
    <w:tmpl w:val="50B0F092"/>
    <w:lvl w:ilvl="0" w:tplc="B76297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2759"/>
    <w:multiLevelType w:val="hybridMultilevel"/>
    <w:tmpl w:val="97BCA5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4533"/>
    <w:multiLevelType w:val="hybridMultilevel"/>
    <w:tmpl w:val="8CDC51E8"/>
    <w:lvl w:ilvl="0" w:tplc="BF665ED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90E"/>
    <w:multiLevelType w:val="multilevel"/>
    <w:tmpl w:val="3D1E2BB2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i/>
        <w:color w:val="0070C0"/>
        <w:sz w:val="24"/>
        <w:szCs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Calibri" w:hAnsi="Calibri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ascii="Calibri" w:hAnsi="Calibri" w:hint="default"/>
        <w:b/>
        <w:i/>
        <w:sz w:val="22"/>
      </w:rPr>
    </w:lvl>
  </w:abstractNum>
  <w:abstractNum w:abstractNumId="6" w15:restartNumberingAfterBreak="0">
    <w:nsid w:val="13ED30FE"/>
    <w:multiLevelType w:val="hybridMultilevel"/>
    <w:tmpl w:val="4FB2BAC6"/>
    <w:lvl w:ilvl="0" w:tplc="DB7490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00EB"/>
    <w:multiLevelType w:val="hybridMultilevel"/>
    <w:tmpl w:val="C23865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39F"/>
    <w:multiLevelType w:val="hybridMultilevel"/>
    <w:tmpl w:val="2BD4F1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749E"/>
    <w:multiLevelType w:val="hybridMultilevel"/>
    <w:tmpl w:val="BCC8D5EC"/>
    <w:lvl w:ilvl="0" w:tplc="828C9F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2CA7"/>
    <w:multiLevelType w:val="hybridMultilevel"/>
    <w:tmpl w:val="5D16AAE2"/>
    <w:lvl w:ilvl="0" w:tplc="4710986C">
      <w:start w:val="1"/>
      <w:numFmt w:val="decimal"/>
      <w:lvlText w:val="%1."/>
      <w:lvlJc w:val="left"/>
      <w:pPr>
        <w:ind w:left="720" w:hanging="360"/>
      </w:pPr>
    </w:lvl>
    <w:lvl w:ilvl="1" w:tplc="086A194A">
      <w:start w:val="1"/>
      <w:numFmt w:val="lowerLetter"/>
      <w:lvlText w:val="%2."/>
      <w:lvlJc w:val="left"/>
      <w:pPr>
        <w:ind w:left="1440" w:hanging="360"/>
      </w:pPr>
    </w:lvl>
    <w:lvl w:ilvl="2" w:tplc="AA2848B8">
      <w:start w:val="1"/>
      <w:numFmt w:val="lowerRoman"/>
      <w:lvlText w:val="%3."/>
      <w:lvlJc w:val="right"/>
      <w:pPr>
        <w:ind w:left="2160" w:hanging="180"/>
      </w:pPr>
    </w:lvl>
    <w:lvl w:ilvl="3" w:tplc="48E616FA">
      <w:start w:val="1"/>
      <w:numFmt w:val="decimal"/>
      <w:lvlText w:val="%4."/>
      <w:lvlJc w:val="left"/>
      <w:pPr>
        <w:ind w:left="2880" w:hanging="360"/>
      </w:pPr>
    </w:lvl>
    <w:lvl w:ilvl="4" w:tplc="E57675CA">
      <w:start w:val="1"/>
      <w:numFmt w:val="lowerLetter"/>
      <w:lvlText w:val="%5."/>
      <w:lvlJc w:val="left"/>
      <w:pPr>
        <w:ind w:left="3600" w:hanging="360"/>
      </w:pPr>
    </w:lvl>
    <w:lvl w:ilvl="5" w:tplc="587E5994">
      <w:start w:val="1"/>
      <w:numFmt w:val="lowerRoman"/>
      <w:lvlText w:val="%6."/>
      <w:lvlJc w:val="right"/>
      <w:pPr>
        <w:ind w:left="4320" w:hanging="180"/>
      </w:pPr>
    </w:lvl>
    <w:lvl w:ilvl="6" w:tplc="11B47EFC">
      <w:start w:val="1"/>
      <w:numFmt w:val="decimal"/>
      <w:lvlText w:val="%7."/>
      <w:lvlJc w:val="left"/>
      <w:pPr>
        <w:ind w:left="5040" w:hanging="360"/>
      </w:pPr>
    </w:lvl>
    <w:lvl w:ilvl="7" w:tplc="E9642668">
      <w:start w:val="1"/>
      <w:numFmt w:val="lowerLetter"/>
      <w:lvlText w:val="%8."/>
      <w:lvlJc w:val="left"/>
      <w:pPr>
        <w:ind w:left="5760" w:hanging="360"/>
      </w:pPr>
    </w:lvl>
    <w:lvl w:ilvl="8" w:tplc="C764C0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F1314"/>
    <w:multiLevelType w:val="hybridMultilevel"/>
    <w:tmpl w:val="2586E4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3D68"/>
    <w:multiLevelType w:val="hybridMultilevel"/>
    <w:tmpl w:val="FF669AE6"/>
    <w:lvl w:ilvl="0" w:tplc="E0B63D66">
      <w:start w:val="1"/>
      <w:numFmt w:val="decimal"/>
      <w:lvlText w:val="%1."/>
      <w:lvlJc w:val="left"/>
      <w:pPr>
        <w:ind w:left="720" w:hanging="360"/>
      </w:pPr>
    </w:lvl>
    <w:lvl w:ilvl="1" w:tplc="D3667B4C">
      <w:start w:val="1"/>
      <w:numFmt w:val="lowerLetter"/>
      <w:lvlText w:val="%2."/>
      <w:lvlJc w:val="left"/>
      <w:pPr>
        <w:ind w:left="1440" w:hanging="360"/>
      </w:pPr>
    </w:lvl>
    <w:lvl w:ilvl="2" w:tplc="AD785D1A">
      <w:start w:val="1"/>
      <w:numFmt w:val="lowerRoman"/>
      <w:lvlText w:val="%3."/>
      <w:lvlJc w:val="right"/>
      <w:pPr>
        <w:ind w:left="2160" w:hanging="180"/>
      </w:pPr>
    </w:lvl>
    <w:lvl w:ilvl="3" w:tplc="4BEAC862">
      <w:start w:val="1"/>
      <w:numFmt w:val="decimal"/>
      <w:lvlText w:val="%4."/>
      <w:lvlJc w:val="left"/>
      <w:pPr>
        <w:ind w:left="2880" w:hanging="360"/>
      </w:pPr>
    </w:lvl>
    <w:lvl w:ilvl="4" w:tplc="D8B8AECC">
      <w:start w:val="1"/>
      <w:numFmt w:val="lowerLetter"/>
      <w:lvlText w:val="%5."/>
      <w:lvlJc w:val="left"/>
      <w:pPr>
        <w:ind w:left="3600" w:hanging="360"/>
      </w:pPr>
    </w:lvl>
    <w:lvl w:ilvl="5" w:tplc="686EBD6E">
      <w:start w:val="1"/>
      <w:numFmt w:val="lowerRoman"/>
      <w:lvlText w:val="%6."/>
      <w:lvlJc w:val="right"/>
      <w:pPr>
        <w:ind w:left="4320" w:hanging="180"/>
      </w:pPr>
    </w:lvl>
    <w:lvl w:ilvl="6" w:tplc="CB7279E8">
      <w:start w:val="1"/>
      <w:numFmt w:val="decimal"/>
      <w:lvlText w:val="%7."/>
      <w:lvlJc w:val="left"/>
      <w:pPr>
        <w:ind w:left="5040" w:hanging="360"/>
      </w:pPr>
    </w:lvl>
    <w:lvl w:ilvl="7" w:tplc="5BE28760">
      <w:start w:val="1"/>
      <w:numFmt w:val="lowerLetter"/>
      <w:lvlText w:val="%8."/>
      <w:lvlJc w:val="left"/>
      <w:pPr>
        <w:ind w:left="5760" w:hanging="360"/>
      </w:pPr>
    </w:lvl>
    <w:lvl w:ilvl="8" w:tplc="02D4F98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A691A"/>
    <w:multiLevelType w:val="hybridMultilevel"/>
    <w:tmpl w:val="D30C33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22041"/>
    <w:multiLevelType w:val="hybridMultilevel"/>
    <w:tmpl w:val="3F2AA7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C627B"/>
    <w:multiLevelType w:val="hybridMultilevel"/>
    <w:tmpl w:val="928C9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A2B68"/>
    <w:multiLevelType w:val="hybridMultilevel"/>
    <w:tmpl w:val="4CB4E324"/>
    <w:lvl w:ilvl="0" w:tplc="5ED45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40A914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5E88"/>
    <w:multiLevelType w:val="hybridMultilevel"/>
    <w:tmpl w:val="B832FC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62D0A"/>
    <w:multiLevelType w:val="hybridMultilevel"/>
    <w:tmpl w:val="0D5E10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229B6"/>
    <w:multiLevelType w:val="hybridMultilevel"/>
    <w:tmpl w:val="E45ACC52"/>
    <w:lvl w:ilvl="0" w:tplc="5ED45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85DC0"/>
    <w:multiLevelType w:val="hybridMultilevel"/>
    <w:tmpl w:val="F3EEB764"/>
    <w:lvl w:ilvl="0" w:tplc="FF562A66">
      <w:start w:val="5"/>
      <w:numFmt w:val="bullet"/>
      <w:lvlText w:val="-"/>
      <w:lvlJc w:val="left"/>
      <w:pPr>
        <w:ind w:left="720" w:hanging="360"/>
      </w:pPr>
      <w:rPr>
        <w:rFonts w:ascii="Calibri" w:eastAsia="Calibri,Segoe U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8709A"/>
    <w:multiLevelType w:val="hybridMultilevel"/>
    <w:tmpl w:val="3A4A81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05D00"/>
    <w:multiLevelType w:val="hybridMultilevel"/>
    <w:tmpl w:val="09B23A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0296A"/>
    <w:multiLevelType w:val="hybridMultilevel"/>
    <w:tmpl w:val="25A6DB5A"/>
    <w:lvl w:ilvl="0" w:tplc="CCAC60A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F666CB"/>
    <w:multiLevelType w:val="hybridMultilevel"/>
    <w:tmpl w:val="75303814"/>
    <w:lvl w:ilvl="0" w:tplc="FFFFFFFF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  <w:lvl w:ilvl="1" w:tplc="62A6F0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3E5197"/>
    <w:multiLevelType w:val="hybridMultilevel"/>
    <w:tmpl w:val="CF64B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52F4A"/>
    <w:multiLevelType w:val="hybridMultilevel"/>
    <w:tmpl w:val="A712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43F7A"/>
    <w:multiLevelType w:val="hybridMultilevel"/>
    <w:tmpl w:val="C0FA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F3F95"/>
    <w:multiLevelType w:val="hybridMultilevel"/>
    <w:tmpl w:val="C69A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265F6"/>
    <w:multiLevelType w:val="hybridMultilevel"/>
    <w:tmpl w:val="C1682DDC"/>
    <w:lvl w:ilvl="0" w:tplc="3D3237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57FDF"/>
    <w:multiLevelType w:val="hybridMultilevel"/>
    <w:tmpl w:val="C7FCC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96B41"/>
    <w:multiLevelType w:val="hybridMultilevel"/>
    <w:tmpl w:val="35A0A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B25B7"/>
    <w:multiLevelType w:val="hybridMultilevel"/>
    <w:tmpl w:val="23BC61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31E09"/>
    <w:multiLevelType w:val="hybridMultilevel"/>
    <w:tmpl w:val="A4A04064"/>
    <w:lvl w:ilvl="0" w:tplc="FF60D426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D267BD"/>
    <w:multiLevelType w:val="hybridMultilevel"/>
    <w:tmpl w:val="24F8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85F73"/>
    <w:multiLevelType w:val="hybridMultilevel"/>
    <w:tmpl w:val="81A4F766"/>
    <w:lvl w:ilvl="0" w:tplc="E71CB83C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E4FE4"/>
    <w:multiLevelType w:val="hybridMultilevel"/>
    <w:tmpl w:val="41360C90"/>
    <w:lvl w:ilvl="0" w:tplc="6EA06A9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76FF8"/>
    <w:multiLevelType w:val="hybridMultilevel"/>
    <w:tmpl w:val="9A624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17"/>
  </w:num>
  <w:num w:numId="5">
    <w:abstractNumId w:val="8"/>
  </w:num>
  <w:num w:numId="6">
    <w:abstractNumId w:val="31"/>
  </w:num>
  <w:num w:numId="7">
    <w:abstractNumId w:val="19"/>
  </w:num>
  <w:num w:numId="8">
    <w:abstractNumId w:val="25"/>
  </w:num>
  <w:num w:numId="9">
    <w:abstractNumId w:val="15"/>
  </w:num>
  <w:num w:numId="10">
    <w:abstractNumId w:val="30"/>
  </w:num>
  <w:num w:numId="11">
    <w:abstractNumId w:val="5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  <w:num w:numId="16">
    <w:abstractNumId w:val="32"/>
  </w:num>
  <w:num w:numId="17">
    <w:abstractNumId w:val="3"/>
  </w:num>
  <w:num w:numId="18">
    <w:abstractNumId w:val="21"/>
  </w:num>
  <w:num w:numId="19">
    <w:abstractNumId w:val="37"/>
  </w:num>
  <w:num w:numId="20">
    <w:abstractNumId w:val="16"/>
  </w:num>
  <w:num w:numId="21">
    <w:abstractNumId w:val="33"/>
  </w:num>
  <w:num w:numId="22">
    <w:abstractNumId w:val="24"/>
    <w:lvlOverride w:ilvl="0">
      <w:startOverride w:val="1"/>
    </w:lvlOverride>
  </w:num>
  <w:num w:numId="23">
    <w:abstractNumId w:val="7"/>
  </w:num>
  <w:num w:numId="24">
    <w:abstractNumId w:val="0"/>
  </w:num>
  <w:num w:numId="25">
    <w:abstractNumId w:val="35"/>
  </w:num>
  <w:num w:numId="26">
    <w:abstractNumId w:val="20"/>
  </w:num>
  <w:num w:numId="27">
    <w:abstractNumId w:val="11"/>
  </w:num>
  <w:num w:numId="28">
    <w:abstractNumId w:val="9"/>
  </w:num>
  <w:num w:numId="29">
    <w:abstractNumId w:val="13"/>
  </w:num>
  <w:num w:numId="30">
    <w:abstractNumId w:val="1"/>
  </w:num>
  <w:num w:numId="31">
    <w:abstractNumId w:val="18"/>
  </w:num>
  <w:num w:numId="32">
    <w:abstractNumId w:val="23"/>
  </w:num>
  <w:num w:numId="33">
    <w:abstractNumId w:val="29"/>
  </w:num>
  <w:num w:numId="34">
    <w:abstractNumId w:val="22"/>
  </w:num>
  <w:num w:numId="35">
    <w:abstractNumId w:val="36"/>
  </w:num>
  <w:num w:numId="36">
    <w:abstractNumId w:val="28"/>
  </w:num>
  <w:num w:numId="37">
    <w:abstractNumId w:val="34"/>
  </w:num>
  <w:num w:numId="38">
    <w:abstractNumId w:val="2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C3"/>
    <w:rsid w:val="000002D8"/>
    <w:rsid w:val="000265B7"/>
    <w:rsid w:val="00031855"/>
    <w:rsid w:val="00045735"/>
    <w:rsid w:val="00046381"/>
    <w:rsid w:val="00056DE3"/>
    <w:rsid w:val="00063282"/>
    <w:rsid w:val="00066904"/>
    <w:rsid w:val="000778D4"/>
    <w:rsid w:val="00085B35"/>
    <w:rsid w:val="00086AB2"/>
    <w:rsid w:val="0009177B"/>
    <w:rsid w:val="00093BA5"/>
    <w:rsid w:val="000A3B3C"/>
    <w:rsid w:val="000B0A5C"/>
    <w:rsid w:val="000C3AE1"/>
    <w:rsid w:val="000E58F0"/>
    <w:rsid w:val="00107F93"/>
    <w:rsid w:val="00112F05"/>
    <w:rsid w:val="00116EDA"/>
    <w:rsid w:val="00156548"/>
    <w:rsid w:val="0018098B"/>
    <w:rsid w:val="001813C4"/>
    <w:rsid w:val="001E7DF8"/>
    <w:rsid w:val="001F7529"/>
    <w:rsid w:val="00204E74"/>
    <w:rsid w:val="0021173A"/>
    <w:rsid w:val="0021423E"/>
    <w:rsid w:val="00234E92"/>
    <w:rsid w:val="00266D3D"/>
    <w:rsid w:val="00267A5B"/>
    <w:rsid w:val="00275DDA"/>
    <w:rsid w:val="0029277E"/>
    <w:rsid w:val="002A4B53"/>
    <w:rsid w:val="002B3E64"/>
    <w:rsid w:val="002D0A65"/>
    <w:rsid w:val="003138A7"/>
    <w:rsid w:val="0031408E"/>
    <w:rsid w:val="00340D75"/>
    <w:rsid w:val="00350080"/>
    <w:rsid w:val="00362957"/>
    <w:rsid w:val="00363B07"/>
    <w:rsid w:val="003649E4"/>
    <w:rsid w:val="00364D0E"/>
    <w:rsid w:val="00370EE3"/>
    <w:rsid w:val="00390B26"/>
    <w:rsid w:val="00392BEA"/>
    <w:rsid w:val="003C67B8"/>
    <w:rsid w:val="003D26EF"/>
    <w:rsid w:val="003D3047"/>
    <w:rsid w:val="003D5B23"/>
    <w:rsid w:val="003D6032"/>
    <w:rsid w:val="003F7A6D"/>
    <w:rsid w:val="00420FA4"/>
    <w:rsid w:val="00443E36"/>
    <w:rsid w:val="00475447"/>
    <w:rsid w:val="00481B19"/>
    <w:rsid w:val="00497E86"/>
    <w:rsid w:val="004A66E8"/>
    <w:rsid w:val="004D3C3C"/>
    <w:rsid w:val="004D628E"/>
    <w:rsid w:val="004F5ED7"/>
    <w:rsid w:val="005416F3"/>
    <w:rsid w:val="00545C7E"/>
    <w:rsid w:val="00556277"/>
    <w:rsid w:val="00562EA1"/>
    <w:rsid w:val="00581305"/>
    <w:rsid w:val="0058290F"/>
    <w:rsid w:val="005831AC"/>
    <w:rsid w:val="005852BA"/>
    <w:rsid w:val="0059668D"/>
    <w:rsid w:val="005A4D8D"/>
    <w:rsid w:val="005A54B6"/>
    <w:rsid w:val="005B7FDB"/>
    <w:rsid w:val="005C75CD"/>
    <w:rsid w:val="005D0B21"/>
    <w:rsid w:val="005D2C3A"/>
    <w:rsid w:val="005D2F5D"/>
    <w:rsid w:val="005F02D4"/>
    <w:rsid w:val="005F4168"/>
    <w:rsid w:val="00602E2F"/>
    <w:rsid w:val="00603E8D"/>
    <w:rsid w:val="006043E3"/>
    <w:rsid w:val="00611C6F"/>
    <w:rsid w:val="00627886"/>
    <w:rsid w:val="00632BA8"/>
    <w:rsid w:val="0065197C"/>
    <w:rsid w:val="00680363"/>
    <w:rsid w:val="00691857"/>
    <w:rsid w:val="006930D2"/>
    <w:rsid w:val="006A2A17"/>
    <w:rsid w:val="006A425B"/>
    <w:rsid w:val="006A57C7"/>
    <w:rsid w:val="006C184C"/>
    <w:rsid w:val="006D59F9"/>
    <w:rsid w:val="006E044B"/>
    <w:rsid w:val="006F15D7"/>
    <w:rsid w:val="00721858"/>
    <w:rsid w:val="00735182"/>
    <w:rsid w:val="00740958"/>
    <w:rsid w:val="0074144E"/>
    <w:rsid w:val="00767543"/>
    <w:rsid w:val="00785BBC"/>
    <w:rsid w:val="007B0155"/>
    <w:rsid w:val="007B01BE"/>
    <w:rsid w:val="007D43AC"/>
    <w:rsid w:val="007F2CA2"/>
    <w:rsid w:val="00801A52"/>
    <w:rsid w:val="008151FA"/>
    <w:rsid w:val="008213C4"/>
    <w:rsid w:val="0082509B"/>
    <w:rsid w:val="0083499E"/>
    <w:rsid w:val="00841D45"/>
    <w:rsid w:val="008430F8"/>
    <w:rsid w:val="008515CC"/>
    <w:rsid w:val="008526C4"/>
    <w:rsid w:val="00864F4A"/>
    <w:rsid w:val="00871B57"/>
    <w:rsid w:val="00876791"/>
    <w:rsid w:val="008966F3"/>
    <w:rsid w:val="008B1584"/>
    <w:rsid w:val="008B217C"/>
    <w:rsid w:val="008B2EBB"/>
    <w:rsid w:val="008B738E"/>
    <w:rsid w:val="008C2DE4"/>
    <w:rsid w:val="008D3428"/>
    <w:rsid w:val="008E2F0F"/>
    <w:rsid w:val="008F25AF"/>
    <w:rsid w:val="00907DE8"/>
    <w:rsid w:val="009349BA"/>
    <w:rsid w:val="00941F24"/>
    <w:rsid w:val="0094429A"/>
    <w:rsid w:val="009501D6"/>
    <w:rsid w:val="0095615D"/>
    <w:rsid w:val="00966C80"/>
    <w:rsid w:val="00994A93"/>
    <w:rsid w:val="009957EB"/>
    <w:rsid w:val="00996160"/>
    <w:rsid w:val="009A0417"/>
    <w:rsid w:val="009A276F"/>
    <w:rsid w:val="009D40EC"/>
    <w:rsid w:val="00A00C94"/>
    <w:rsid w:val="00A050FF"/>
    <w:rsid w:val="00A433FC"/>
    <w:rsid w:val="00A6558E"/>
    <w:rsid w:val="00A910DD"/>
    <w:rsid w:val="00AC6D5B"/>
    <w:rsid w:val="00AC7EBC"/>
    <w:rsid w:val="00AD375F"/>
    <w:rsid w:val="00AD61F6"/>
    <w:rsid w:val="00AD7201"/>
    <w:rsid w:val="00AF3129"/>
    <w:rsid w:val="00B33A6E"/>
    <w:rsid w:val="00B60ACF"/>
    <w:rsid w:val="00B617A2"/>
    <w:rsid w:val="00B66347"/>
    <w:rsid w:val="00B72FC3"/>
    <w:rsid w:val="00B757A3"/>
    <w:rsid w:val="00B81A85"/>
    <w:rsid w:val="00B878D5"/>
    <w:rsid w:val="00BB3CEC"/>
    <w:rsid w:val="00BF6969"/>
    <w:rsid w:val="00C068F2"/>
    <w:rsid w:val="00C10543"/>
    <w:rsid w:val="00C10C01"/>
    <w:rsid w:val="00C331C2"/>
    <w:rsid w:val="00C4030C"/>
    <w:rsid w:val="00C53D1E"/>
    <w:rsid w:val="00C610F8"/>
    <w:rsid w:val="00C67F29"/>
    <w:rsid w:val="00CA4703"/>
    <w:rsid w:val="00CB2FEF"/>
    <w:rsid w:val="00CC2FD4"/>
    <w:rsid w:val="00CF78A2"/>
    <w:rsid w:val="00CF7CA8"/>
    <w:rsid w:val="00D02146"/>
    <w:rsid w:val="00D12C02"/>
    <w:rsid w:val="00D13CA6"/>
    <w:rsid w:val="00D309AE"/>
    <w:rsid w:val="00D526EE"/>
    <w:rsid w:val="00D5538A"/>
    <w:rsid w:val="00D866C3"/>
    <w:rsid w:val="00DA2C23"/>
    <w:rsid w:val="00DA3825"/>
    <w:rsid w:val="00DE7A9B"/>
    <w:rsid w:val="00DF6D80"/>
    <w:rsid w:val="00E11BFD"/>
    <w:rsid w:val="00E1243A"/>
    <w:rsid w:val="00E16E79"/>
    <w:rsid w:val="00E36182"/>
    <w:rsid w:val="00E45422"/>
    <w:rsid w:val="00E47884"/>
    <w:rsid w:val="00E804F4"/>
    <w:rsid w:val="00E807A2"/>
    <w:rsid w:val="00E864DB"/>
    <w:rsid w:val="00E91DDD"/>
    <w:rsid w:val="00EA111E"/>
    <w:rsid w:val="00EB1BEB"/>
    <w:rsid w:val="00ED1070"/>
    <w:rsid w:val="00EE1DB9"/>
    <w:rsid w:val="00EF0CFA"/>
    <w:rsid w:val="00F05EBE"/>
    <w:rsid w:val="00F20525"/>
    <w:rsid w:val="00F26473"/>
    <w:rsid w:val="00F33291"/>
    <w:rsid w:val="00F41044"/>
    <w:rsid w:val="00F553FD"/>
    <w:rsid w:val="00F559E6"/>
    <w:rsid w:val="00F653E4"/>
    <w:rsid w:val="00F678C6"/>
    <w:rsid w:val="00F927CD"/>
    <w:rsid w:val="00FA5276"/>
    <w:rsid w:val="00FC4269"/>
    <w:rsid w:val="00FC4FC3"/>
    <w:rsid w:val="00FE3F03"/>
    <w:rsid w:val="28436CA0"/>
    <w:rsid w:val="3A0C898D"/>
    <w:rsid w:val="76929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0C338C"/>
  <w15:chartTrackingRefBased/>
  <w15:docId w15:val="{57C0EBC7-DD39-44E3-BE35-06E9A39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66C3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D866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66C3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table" w:styleId="TableGrid">
    <w:name w:val="Table Grid"/>
    <w:basedOn w:val="TableNormal"/>
    <w:rsid w:val="00D86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6C3"/>
    <w:pPr>
      <w:ind w:left="720"/>
      <w:contextualSpacing/>
    </w:pPr>
  </w:style>
  <w:style w:type="paragraph" w:customStyle="1" w:styleId="Style1">
    <w:name w:val="Style1"/>
    <w:basedOn w:val="Normal"/>
    <w:qFormat/>
    <w:rsid w:val="00D866C3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AD9610"/>
      <w:autoSpaceDE w:val="0"/>
      <w:autoSpaceDN w:val="0"/>
      <w:adjustRightInd w:val="0"/>
      <w:spacing w:before="240" w:after="0" w:line="240" w:lineRule="auto"/>
    </w:pPr>
    <w:rPr>
      <w:rFonts w:cstheme="minorHAnsi"/>
      <w:b/>
      <w:bCs/>
      <w:sz w:val="28"/>
      <w:szCs w:val="28"/>
      <w:lang w:eastAsia="en-AU"/>
    </w:rPr>
  </w:style>
  <w:style w:type="paragraph" w:customStyle="1" w:styleId="Style3">
    <w:name w:val="Style3"/>
    <w:basedOn w:val="Style1"/>
    <w:qFormat/>
    <w:rsid w:val="00D866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798D37"/>
    </w:pPr>
    <w:rPr>
      <w:color w:val="FFFFFF" w:themeColor="background1"/>
    </w:rPr>
  </w:style>
  <w:style w:type="paragraph" w:customStyle="1" w:styleId="Default">
    <w:name w:val="Default"/>
    <w:rsid w:val="00D86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6C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86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D866C3"/>
  </w:style>
  <w:style w:type="character" w:customStyle="1" w:styleId="eop">
    <w:name w:val="eop"/>
    <w:basedOn w:val="DefaultParagraphFont"/>
    <w:rsid w:val="00D866C3"/>
  </w:style>
  <w:style w:type="character" w:customStyle="1" w:styleId="spellingerror">
    <w:name w:val="spellingerror"/>
    <w:basedOn w:val="DefaultParagraphFont"/>
    <w:rsid w:val="00E45422"/>
  </w:style>
  <w:style w:type="paragraph" w:styleId="FootnoteText">
    <w:name w:val="footnote text"/>
    <w:basedOn w:val="Normal"/>
    <w:link w:val="FootnoteTextChar"/>
    <w:uiPriority w:val="99"/>
    <w:semiHidden/>
    <w:unhideWhenUsed/>
    <w:rsid w:val="008B217C"/>
    <w:pPr>
      <w:spacing w:after="0" w:line="240" w:lineRule="auto"/>
    </w:pPr>
    <w:rPr>
      <w:rFonts w:eastAsiaTheme="minorEastAsia" w:cs="Times New Roman"/>
      <w:sz w:val="20"/>
      <w:szCs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17C"/>
    <w:rPr>
      <w:rFonts w:eastAsiaTheme="minorEastAsia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217C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4F5E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ED7"/>
    <w:rPr>
      <w:i/>
      <w:iCs/>
      <w:color w:val="404040" w:themeColor="text1" w:themeTint="BF"/>
      <w:lang w:val="en-AU"/>
    </w:rPr>
  </w:style>
  <w:style w:type="paragraph" w:customStyle="1" w:styleId="paragraph1">
    <w:name w:val="paragraph1"/>
    <w:basedOn w:val="Normal"/>
    <w:rsid w:val="0056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6519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E6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B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E64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67F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F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F29"/>
    <w:rPr>
      <w:sz w:val="24"/>
      <w:szCs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F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F29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F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29"/>
    <w:rPr>
      <w:rFonts w:ascii="Times New Roman" w:hAnsi="Times New Roman" w:cs="Times New Roman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ecd.org/dac/effectiveness/34428351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corehumanitarianstandard.org/the-standar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.spherestandards.org/en/spher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rc.ngo/media/2113379/actionaid_safety-with-dignity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rc.org/en/doc/assets/files/publications/icrc-002-1067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5252-236D-440F-8EA3-66228FA80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1eabc-1675-431e-8468-36c0a4f15517"/>
    <ds:schemaRef ds:uri="d2c898a5-5572-438b-a976-5032225a7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6BA19-33C0-4337-83BF-8A6BF48C9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F421C-8DF5-40B6-9996-2D4BEF0C1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04D52B-6E15-456B-BF1F-B0952C1B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Gaia Maridati</cp:lastModifiedBy>
  <cp:revision>4</cp:revision>
  <dcterms:created xsi:type="dcterms:W3CDTF">2019-09-16T23:23:00Z</dcterms:created>
  <dcterms:modified xsi:type="dcterms:W3CDTF">2019-09-24T23:41:00Z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