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68D2" w14:textId="77777777" w:rsidR="00E5652B" w:rsidRDefault="00E5652B" w:rsidP="00E5652B">
      <w:pPr>
        <w:pStyle w:val="Heading1"/>
        <w:jc w:val="right"/>
        <w:rPr>
          <w:rFonts w:asciiTheme="minorHAnsi" w:hAnsiTheme="minorHAnsi" w:cstheme="minorHAnsi"/>
          <w:sz w:val="22"/>
          <w:szCs w:val="22"/>
          <w:lang w:eastAsia="en-AU"/>
        </w:rPr>
      </w:pPr>
      <w:r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14A401C4" wp14:editId="72E47CA4">
            <wp:extent cx="1934210" cy="738505"/>
            <wp:effectExtent l="0" t="0" r="8890" b="4445"/>
            <wp:docPr id="1" name="Picture 1" descr="Council For International Development -_core -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For International Development -_core - WHIT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17E2" w14:textId="77777777" w:rsidR="00E5652B" w:rsidRDefault="00E5652B" w:rsidP="00E5652B">
      <w:pPr>
        <w:rPr>
          <w:b/>
          <w:sz w:val="24"/>
          <w:szCs w:val="24"/>
          <w:lang w:eastAsia="en-AU"/>
        </w:rPr>
      </w:pPr>
    </w:p>
    <w:p w14:paraId="27C2F98B" w14:textId="3EA48EBE" w:rsidR="00E5652B" w:rsidRPr="00205163" w:rsidRDefault="00E5652B" w:rsidP="00E5652B">
      <w:pPr>
        <w:rPr>
          <w:rFonts w:cstheme="minorHAnsi"/>
          <w:i/>
          <w:lang w:eastAsia="en-AU"/>
        </w:rPr>
      </w:pPr>
      <w:r w:rsidRPr="00E50CF6">
        <w:rPr>
          <w:rFonts w:cstheme="minorHAnsi"/>
          <w:b/>
          <w:i/>
          <w:highlight w:val="green"/>
          <w:lang w:eastAsia="en-AU"/>
        </w:rPr>
        <w:t>Note:</w:t>
      </w:r>
      <w:r w:rsidRPr="00205163">
        <w:rPr>
          <w:rFonts w:cstheme="minorHAnsi"/>
          <w:i/>
          <w:lang w:eastAsia="en-AU"/>
        </w:rPr>
        <w:t xml:space="preserve"> A </w:t>
      </w:r>
      <w:r>
        <w:rPr>
          <w:rFonts w:cstheme="minorHAnsi"/>
          <w:i/>
          <w:lang w:eastAsia="en-AU"/>
        </w:rPr>
        <w:t>Control of Funds &amp;</w:t>
      </w:r>
      <w:r w:rsidRPr="00205163">
        <w:rPr>
          <w:rFonts w:cstheme="minorHAnsi"/>
          <w:i/>
          <w:lang w:eastAsia="en-AU"/>
        </w:rPr>
        <w:t xml:space="preserve"> </w:t>
      </w:r>
      <w:r w:rsidR="004327BA">
        <w:rPr>
          <w:rFonts w:cstheme="minorHAnsi"/>
          <w:i/>
          <w:lang w:eastAsia="en-AU"/>
        </w:rPr>
        <w:t xml:space="preserve">Resources </w:t>
      </w:r>
      <w:r w:rsidRPr="00205163">
        <w:rPr>
          <w:rFonts w:cstheme="minorHAnsi"/>
          <w:i/>
          <w:lang w:eastAsia="en-AU"/>
        </w:rPr>
        <w:t xml:space="preserve">Policy should be tailored according to </w:t>
      </w:r>
      <w:r w:rsidR="00BD1E14">
        <w:rPr>
          <w:rFonts w:cstheme="minorHAnsi"/>
          <w:i/>
          <w:lang w:eastAsia="en-AU"/>
        </w:rPr>
        <w:t>the organisation</w:t>
      </w:r>
      <w:bookmarkStart w:id="0" w:name="_GoBack"/>
      <w:bookmarkEnd w:id="0"/>
      <w:r w:rsidR="00BD1E14">
        <w:rPr>
          <w:rFonts w:cstheme="minorHAnsi"/>
          <w:i/>
          <w:lang w:eastAsia="en-AU"/>
        </w:rPr>
        <w:t>’s</w:t>
      </w:r>
      <w:r w:rsidRPr="00205163">
        <w:rPr>
          <w:rFonts w:cstheme="minorHAnsi"/>
          <w:i/>
          <w:lang w:eastAsia="en-AU"/>
        </w:rPr>
        <w:t xml:space="preserve"> size</w:t>
      </w:r>
      <w:r w:rsidR="00BD1E14">
        <w:rPr>
          <w:rFonts w:cstheme="minorHAnsi"/>
          <w:i/>
          <w:lang w:eastAsia="en-AU"/>
        </w:rPr>
        <w:t xml:space="preserve"> and </w:t>
      </w:r>
      <w:r w:rsidRPr="00205163">
        <w:rPr>
          <w:rFonts w:cstheme="minorHAnsi"/>
          <w:i/>
          <w:lang w:eastAsia="en-AU"/>
        </w:rPr>
        <w:t xml:space="preserve">operations. This template can be changed according to organisational context. </w:t>
      </w:r>
      <w:r w:rsidR="005F1E14">
        <w:rPr>
          <w:rFonts w:cstheme="minorHAnsi"/>
          <w:i/>
          <w:lang w:eastAsia="en-AU"/>
        </w:rPr>
        <w:t xml:space="preserve">This template can assist with understanding some of the policy requirements for CID Code of Conduct mandatory obligation </w:t>
      </w:r>
      <w:r w:rsidR="005F1E14">
        <w:rPr>
          <w:rFonts w:cstheme="minorHAnsi"/>
          <w:b/>
          <w:i/>
          <w:lang w:eastAsia="en-AU"/>
        </w:rPr>
        <w:t>B.2.3 Control of funds and resources</w:t>
      </w:r>
      <w:r w:rsidR="005F1E14">
        <w:rPr>
          <w:rFonts w:cstheme="minorHAnsi"/>
          <w:i/>
          <w:lang w:eastAsia="en-AU"/>
        </w:rPr>
        <w:t>.</w:t>
      </w:r>
    </w:p>
    <w:p w14:paraId="7DEC0510" w14:textId="77777777" w:rsidR="00E5652B" w:rsidRPr="00E03772" w:rsidRDefault="00E5652B" w:rsidP="00E5652B">
      <w:pPr>
        <w:rPr>
          <w:rFonts w:cstheme="minorHAnsi"/>
          <w:b/>
          <w:lang w:eastAsia="en-AU"/>
        </w:rPr>
      </w:pPr>
      <w:r w:rsidRPr="00E03772">
        <w:rPr>
          <w:rFonts w:cstheme="minorHAnsi"/>
          <w:b/>
          <w:lang w:eastAsia="en-AU"/>
        </w:rPr>
        <w:t>[Organisation]</w:t>
      </w:r>
    </w:p>
    <w:p w14:paraId="628B2029" w14:textId="0BF4DD97" w:rsidR="00E5652B" w:rsidRPr="00E03772" w:rsidRDefault="00E5652B" w:rsidP="00E5652B">
      <w:pPr>
        <w:rPr>
          <w:rFonts w:cstheme="minorHAnsi"/>
          <w:b/>
          <w:color w:val="70AD47" w:themeColor="accent6"/>
          <w:sz w:val="28"/>
          <w:szCs w:val="28"/>
          <w:lang w:eastAsia="en-AU"/>
        </w:rPr>
      </w:pPr>
      <w:r>
        <w:rPr>
          <w:rFonts w:cstheme="minorHAnsi"/>
          <w:b/>
          <w:color w:val="70AD47" w:themeColor="accent6"/>
          <w:sz w:val="28"/>
          <w:szCs w:val="28"/>
          <w:lang w:eastAsia="en-AU"/>
        </w:rPr>
        <w:t>Control of Funds &amp; Resources</w:t>
      </w:r>
      <w:r w:rsidRPr="00E03772">
        <w:rPr>
          <w:rFonts w:cstheme="minorHAnsi"/>
          <w:b/>
          <w:color w:val="70AD47" w:themeColor="accent6"/>
          <w:sz w:val="28"/>
          <w:szCs w:val="28"/>
          <w:lang w:eastAsia="en-AU"/>
        </w:rPr>
        <w:t xml:space="preserve"> Policy</w:t>
      </w:r>
    </w:p>
    <w:p w14:paraId="0E5DADB9" w14:textId="77777777" w:rsidR="00E5652B" w:rsidRPr="00E03772" w:rsidRDefault="00E5652B" w:rsidP="00E5652B">
      <w:pPr>
        <w:rPr>
          <w:rFonts w:cstheme="minorHAnsi"/>
          <w:lang w:eastAsia="en-AU"/>
        </w:rPr>
      </w:pPr>
      <w:r w:rsidRPr="00E03772">
        <w:rPr>
          <w:rFonts w:cstheme="minorHAnsi"/>
          <w:lang w:eastAsia="en-AU"/>
        </w:rPr>
        <w:t xml:space="preserve">This policy will be reviewed triennially, and details recorded as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62"/>
        <w:gridCol w:w="1827"/>
        <w:gridCol w:w="1197"/>
        <w:gridCol w:w="1545"/>
        <w:gridCol w:w="2197"/>
      </w:tblGrid>
      <w:tr w:rsidR="00E5652B" w:rsidRPr="00E03772" w14:paraId="781FB956" w14:textId="77777777" w:rsidTr="00C16B4D">
        <w:trPr>
          <w:trHeight w:val="441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ADE4A1B" w14:textId="77777777" w:rsidR="00E5652B" w:rsidRPr="00E03772" w:rsidRDefault="00E5652B" w:rsidP="00C16B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Version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7CCDB49D" w14:textId="77777777" w:rsidR="00E5652B" w:rsidRPr="00E03772" w:rsidRDefault="00E5652B" w:rsidP="00C16B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Date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7A96DDD2" w14:textId="77777777" w:rsidR="00E5652B" w:rsidRPr="00E03772" w:rsidRDefault="00E5652B" w:rsidP="00C16B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Author/s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8C8CBFC" w14:textId="77777777" w:rsidR="00E5652B" w:rsidRPr="00E03772" w:rsidRDefault="00E5652B" w:rsidP="00C16B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Approved by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1A463E6B" w14:textId="77777777" w:rsidR="00E5652B" w:rsidRPr="00E03772" w:rsidRDefault="00E5652B" w:rsidP="00C16B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Review Date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13D5475F" w14:textId="77777777" w:rsidR="00E5652B" w:rsidRPr="00E03772" w:rsidRDefault="00E5652B" w:rsidP="00C16B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E0377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Comments</w:t>
            </w:r>
          </w:p>
        </w:tc>
      </w:tr>
      <w:tr w:rsidR="00E5652B" w:rsidRPr="00E03772" w14:paraId="16097218" w14:textId="77777777" w:rsidTr="00C16B4D">
        <w:tc>
          <w:tcPr>
            <w:tcW w:w="988" w:type="dxa"/>
          </w:tcPr>
          <w:p w14:paraId="7416106D" w14:textId="77777777" w:rsidR="00E5652B" w:rsidRPr="00E03772" w:rsidRDefault="00E5652B" w:rsidP="00C16B4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262" w:type="dxa"/>
          </w:tcPr>
          <w:p w14:paraId="0D810CED" w14:textId="77777777" w:rsidR="00E5652B" w:rsidRPr="00E03772" w:rsidRDefault="00E5652B" w:rsidP="00C16B4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827" w:type="dxa"/>
          </w:tcPr>
          <w:p w14:paraId="2AD9A628" w14:textId="77777777" w:rsidR="00E5652B" w:rsidRPr="00E03772" w:rsidRDefault="00E5652B" w:rsidP="00C16B4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197" w:type="dxa"/>
          </w:tcPr>
          <w:p w14:paraId="7AC82000" w14:textId="77777777" w:rsidR="00E5652B" w:rsidRPr="00E03772" w:rsidRDefault="00E5652B" w:rsidP="00C16B4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1545" w:type="dxa"/>
          </w:tcPr>
          <w:p w14:paraId="6A80872D" w14:textId="77777777" w:rsidR="00E5652B" w:rsidRPr="00E03772" w:rsidRDefault="00E5652B" w:rsidP="00C16B4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  <w:lang w:val="en-NZ"/>
              </w:rPr>
            </w:pPr>
          </w:p>
        </w:tc>
        <w:tc>
          <w:tcPr>
            <w:tcW w:w="2197" w:type="dxa"/>
          </w:tcPr>
          <w:p w14:paraId="5FCEA7D5" w14:textId="77777777" w:rsidR="00E5652B" w:rsidRPr="00E03772" w:rsidRDefault="00E5652B" w:rsidP="00C16B4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NZ"/>
              </w:rPr>
            </w:pPr>
          </w:p>
        </w:tc>
      </w:tr>
    </w:tbl>
    <w:p w14:paraId="036AC2C9" w14:textId="77777777" w:rsidR="00E5652B" w:rsidRPr="00E03772" w:rsidRDefault="00E5652B" w:rsidP="00E5652B">
      <w:pPr>
        <w:rPr>
          <w:rStyle w:val="normaltextrun"/>
          <w:rFonts w:cstheme="minorHAnsi"/>
          <w:lang w:eastAsia="en-AU"/>
        </w:rPr>
      </w:pPr>
    </w:p>
    <w:p w14:paraId="31BF581C" w14:textId="77777777" w:rsidR="00E5652B" w:rsidRPr="00E03772" w:rsidRDefault="00E5652B" w:rsidP="00E5652B">
      <w:pPr>
        <w:pStyle w:val="ListParagraph"/>
        <w:numPr>
          <w:ilvl w:val="0"/>
          <w:numId w:val="29"/>
        </w:numPr>
        <w:ind w:left="0"/>
        <w:rPr>
          <w:rStyle w:val="normaltextrun"/>
          <w:rFonts w:eastAsiaTheme="minorEastAsia" w:cstheme="minorHAnsi"/>
          <w:b/>
          <w:iCs/>
          <w:sz w:val="24"/>
          <w:szCs w:val="24"/>
        </w:rPr>
      </w:pPr>
      <w:r w:rsidRPr="00E03772">
        <w:rPr>
          <w:rStyle w:val="normaltextrun"/>
          <w:rFonts w:eastAsiaTheme="minorEastAsia" w:cstheme="minorHAnsi"/>
          <w:b/>
          <w:iCs/>
          <w:sz w:val="24"/>
          <w:szCs w:val="24"/>
        </w:rPr>
        <w:t>Purpose</w:t>
      </w:r>
    </w:p>
    <w:p w14:paraId="7692EE8D" w14:textId="00093165" w:rsidR="00360F44" w:rsidRPr="00B53935" w:rsidRDefault="4DE77018" w:rsidP="00E5652B">
      <w:pPr>
        <w:rPr>
          <w:rFonts w:cstheme="minorHAnsi"/>
        </w:rPr>
      </w:pPr>
      <w:r w:rsidRPr="00621C8A">
        <w:rPr>
          <w:rStyle w:val="normaltextrun"/>
          <w:rFonts w:eastAsiaTheme="minorEastAsia" w:cstheme="minorHAnsi"/>
        </w:rPr>
        <w:t>This policy is designed to protect</w:t>
      </w:r>
      <w:r w:rsidRPr="00621C8A">
        <w:rPr>
          <w:rStyle w:val="normaltextrun"/>
          <w:rFonts w:eastAsiaTheme="minorEastAsia" w:cstheme="minorHAnsi"/>
          <w:i/>
          <w:iCs/>
        </w:rPr>
        <w:t xml:space="preserve"> [ORGANISATION] </w:t>
      </w:r>
      <w:r w:rsidRPr="00621C8A">
        <w:rPr>
          <w:rStyle w:val="normaltextrun"/>
          <w:rFonts w:eastAsiaTheme="minorEastAsia" w:cstheme="minorHAnsi"/>
        </w:rPr>
        <w:t>when working with third party organisations, particularly in the areas of funds and resource management.</w:t>
      </w:r>
      <w:r w:rsidRPr="00621C8A">
        <w:rPr>
          <w:rStyle w:val="normaltextrun"/>
          <w:rFonts w:eastAsiaTheme="minorEastAsia" w:cstheme="minorHAnsi"/>
          <w:i/>
          <w:iCs/>
        </w:rPr>
        <w:t xml:space="preserve"> [ORGANISATION] </w:t>
      </w:r>
      <w:r w:rsidRPr="00621C8A">
        <w:rPr>
          <w:rStyle w:val="normaltextrun"/>
          <w:rFonts w:eastAsiaTheme="minorEastAsia" w:cstheme="minorHAnsi"/>
        </w:rPr>
        <w:t>acknowledges the importance of maintaining control over funds and resources that they receive and distribute, in accordance with New Zealand legislation.</w:t>
      </w:r>
      <w:r w:rsidRPr="00621C8A">
        <w:rPr>
          <w:rStyle w:val="normaltextrun"/>
          <w:rFonts w:eastAsiaTheme="minorEastAsia" w:cstheme="minorHAnsi"/>
          <w:i/>
          <w:iCs/>
        </w:rPr>
        <w:t xml:space="preserve"> </w:t>
      </w:r>
      <w:r w:rsidRPr="00621C8A">
        <w:rPr>
          <w:rStyle w:val="normaltextrun"/>
          <w:rFonts w:eastAsiaTheme="minorEastAsia" w:cstheme="minorHAnsi"/>
        </w:rPr>
        <w:t xml:space="preserve">Any misconduct with the funds and resources could have long term impacts-both economic and reputational for </w:t>
      </w:r>
      <w:r w:rsidRPr="00621C8A">
        <w:rPr>
          <w:rStyle w:val="normaltextrun"/>
          <w:rFonts w:eastAsiaTheme="minorEastAsia" w:cstheme="minorHAnsi"/>
          <w:i/>
          <w:iCs/>
        </w:rPr>
        <w:t>[ORGANISATION].</w:t>
      </w:r>
      <w:r w:rsidRPr="00621C8A">
        <w:rPr>
          <w:rStyle w:val="normaltextrun"/>
          <w:rFonts w:eastAsiaTheme="minorEastAsia" w:cstheme="minorHAnsi"/>
        </w:rPr>
        <w:t xml:space="preserve"> These impacts could have detrimental effects on </w:t>
      </w:r>
      <w:r w:rsidR="00360F44" w:rsidRPr="00621C8A">
        <w:rPr>
          <w:rStyle w:val="normaltextrun"/>
          <w:rFonts w:eastAsiaTheme="minorEastAsia" w:cstheme="minorHAnsi"/>
          <w:i/>
          <w:iCs/>
        </w:rPr>
        <w:t>[OR</w:t>
      </w:r>
      <w:r w:rsidRPr="00621C8A">
        <w:rPr>
          <w:rStyle w:val="normaltextrun"/>
          <w:rFonts w:eastAsiaTheme="minorEastAsia" w:cstheme="minorHAnsi"/>
          <w:i/>
          <w:iCs/>
        </w:rPr>
        <w:t>G</w:t>
      </w:r>
      <w:r w:rsidR="00360F44" w:rsidRPr="00621C8A">
        <w:rPr>
          <w:rStyle w:val="normaltextrun"/>
          <w:rFonts w:eastAsiaTheme="minorEastAsia" w:cstheme="minorHAnsi"/>
          <w:i/>
          <w:iCs/>
        </w:rPr>
        <w:t>A</w:t>
      </w:r>
      <w:r w:rsidRPr="00621C8A">
        <w:rPr>
          <w:rStyle w:val="normaltextrun"/>
          <w:rFonts w:eastAsiaTheme="minorEastAsia" w:cstheme="minorHAnsi"/>
          <w:i/>
          <w:iCs/>
        </w:rPr>
        <w:t>NISATION],</w:t>
      </w:r>
      <w:r w:rsidRPr="00621C8A">
        <w:rPr>
          <w:rStyle w:val="normaltextrun"/>
          <w:rFonts w:eastAsiaTheme="minorEastAsia" w:cstheme="minorHAnsi"/>
        </w:rPr>
        <w:t xml:space="preserve"> the sector and the developmental outcomes.</w:t>
      </w:r>
      <w:r w:rsidR="00DC5D02">
        <w:rPr>
          <w:rFonts w:cstheme="minorHAnsi"/>
        </w:rPr>
        <w:t xml:space="preserve"> </w:t>
      </w:r>
      <w:r w:rsidR="009E55AC">
        <w:rPr>
          <w:rFonts w:cstheme="minorHAnsi"/>
        </w:rPr>
        <w:t xml:space="preserve">Consequently, [ORGANISATION] </w:t>
      </w:r>
      <w:r w:rsidR="00AA3DD4">
        <w:rPr>
          <w:rFonts w:cstheme="minorHAnsi"/>
        </w:rPr>
        <w:t>has adopted control and risk management mechanisms to ensure all funds and resources are distributed law</w:t>
      </w:r>
      <w:r w:rsidR="00CE386D">
        <w:rPr>
          <w:rFonts w:cstheme="minorHAnsi"/>
        </w:rPr>
        <w:t xml:space="preserve">fully and in accordance with [ORGANISATION]’s core strategy, mission and values. </w:t>
      </w:r>
      <w:r w:rsidRPr="00621C8A">
        <w:rPr>
          <w:rFonts w:cstheme="minorHAnsi"/>
        </w:rPr>
        <w:t xml:space="preserve">This policy should be read alongside and be consistent with the </w:t>
      </w:r>
      <w:r w:rsidRPr="00621C8A">
        <w:rPr>
          <w:rFonts w:cstheme="minorHAnsi"/>
          <w:i/>
          <w:iCs/>
        </w:rPr>
        <w:t>[ORGANISATION]</w:t>
      </w:r>
      <w:r w:rsidR="00360F44" w:rsidRPr="00621C8A">
        <w:rPr>
          <w:rFonts w:cstheme="minorHAnsi"/>
        </w:rPr>
        <w:t>’s Fundraising Policy (etc.)</w:t>
      </w:r>
    </w:p>
    <w:p w14:paraId="56DABE0D" w14:textId="1C89E117" w:rsidR="00D13CA6" w:rsidRPr="00E5652B" w:rsidRDefault="4DE77018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</w:rPr>
      </w:pPr>
      <w:r w:rsidRPr="00E5652B">
        <w:rPr>
          <w:b/>
          <w:sz w:val="24"/>
          <w:szCs w:val="24"/>
        </w:rPr>
        <w:t>Scope</w:t>
      </w:r>
    </w:p>
    <w:p w14:paraId="50093FC6" w14:textId="4EE1FD27" w:rsidR="00360F44" w:rsidRPr="00E5652B" w:rsidRDefault="1AE600D4" w:rsidP="00E5652B">
      <w:pPr>
        <w:rPr>
          <w:rFonts w:eastAsia="Calibri" w:cstheme="minorHAnsi"/>
        </w:rPr>
      </w:pPr>
      <w:r w:rsidRPr="00E5652B">
        <w:rPr>
          <w:rFonts w:eastAsia="Calibri" w:cstheme="minorHAnsi"/>
        </w:rPr>
        <w:t xml:space="preserve">This policy is intended to apply to all </w:t>
      </w:r>
      <w:r w:rsidRPr="00E5652B">
        <w:rPr>
          <w:rFonts w:eastAsia="Calibri" w:cstheme="minorHAnsi"/>
          <w:i/>
          <w:iCs/>
        </w:rPr>
        <w:t>[ORGANISATION]</w:t>
      </w:r>
      <w:r w:rsidRPr="00E5652B">
        <w:rPr>
          <w:rFonts w:eastAsia="Calibri" w:cstheme="minorHAnsi"/>
        </w:rPr>
        <w:t xml:space="preserve"> activities. This policy is applicable to all </w:t>
      </w:r>
      <w:r w:rsidRPr="00E5652B">
        <w:rPr>
          <w:rFonts w:eastAsia="Calibri" w:cstheme="minorHAnsi"/>
          <w:i/>
          <w:iCs/>
        </w:rPr>
        <w:t xml:space="preserve">[ORGANISATION] </w:t>
      </w:r>
      <w:r w:rsidRPr="00E5652B">
        <w:rPr>
          <w:rFonts w:eastAsia="Calibri" w:cstheme="minorHAnsi"/>
        </w:rPr>
        <w:t xml:space="preserve">personnel. This policy also extends to </w:t>
      </w:r>
      <w:r w:rsidRPr="00E5652B">
        <w:rPr>
          <w:rFonts w:eastAsia="Calibri" w:cstheme="minorHAnsi"/>
          <w:i/>
          <w:iCs/>
        </w:rPr>
        <w:t xml:space="preserve">[ORGANISATION] </w:t>
      </w:r>
      <w:r w:rsidRPr="00E5652B">
        <w:rPr>
          <w:rFonts w:eastAsia="Calibri" w:cstheme="minorHAnsi"/>
        </w:rPr>
        <w:t>partners and associates.</w:t>
      </w:r>
    </w:p>
    <w:p w14:paraId="4A5278C6" w14:textId="777BC182" w:rsidR="00941F24" w:rsidRPr="00E5652B" w:rsidRDefault="4DE77018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</w:rPr>
      </w:pPr>
      <w:r w:rsidRPr="00E5652B">
        <w:rPr>
          <w:b/>
          <w:sz w:val="24"/>
          <w:szCs w:val="24"/>
        </w:rPr>
        <w:t>Roles and Responsibilities</w:t>
      </w:r>
    </w:p>
    <w:p w14:paraId="0DE07270" w14:textId="79BB261A" w:rsidR="00360F44" w:rsidRPr="00E5652B" w:rsidRDefault="4DE77018" w:rsidP="00E5652B">
      <w:pPr>
        <w:rPr>
          <w:rFonts w:cstheme="minorHAnsi"/>
          <w:lang w:val="en-NZ" w:eastAsia="en-NZ"/>
        </w:rPr>
      </w:pPr>
      <w:r w:rsidRPr="00E5652B">
        <w:rPr>
          <w:rFonts w:cstheme="minorHAnsi"/>
          <w:lang w:val="en-NZ" w:eastAsia="en-NZ"/>
        </w:rPr>
        <w:t xml:space="preserve">It is the responsibility of every staff member, intern, volunteer and contractor to ensure that </w:t>
      </w:r>
      <w:r w:rsidRPr="00E5652B">
        <w:rPr>
          <w:rFonts w:cstheme="minorHAnsi"/>
          <w:i/>
          <w:iCs/>
          <w:lang w:val="en-NZ" w:eastAsia="en-NZ"/>
        </w:rPr>
        <w:t>[ORGANISATION]</w:t>
      </w:r>
      <w:r w:rsidRPr="00E5652B">
        <w:rPr>
          <w:rFonts w:cstheme="minorHAnsi"/>
          <w:lang w:val="en-NZ" w:eastAsia="en-NZ"/>
        </w:rPr>
        <w:t xml:space="preserve"> takes</w:t>
      </w:r>
      <w:r w:rsidRPr="00E5652B">
        <w:rPr>
          <w:rFonts w:cstheme="minorHAnsi"/>
          <w:b/>
          <w:bCs/>
          <w:lang w:val="en-NZ" w:eastAsia="en-NZ"/>
        </w:rPr>
        <w:t xml:space="preserve"> </w:t>
      </w:r>
      <w:r w:rsidRPr="00E5652B">
        <w:rPr>
          <w:rFonts w:cstheme="minorHAnsi"/>
          <w:lang w:val="en-NZ" w:eastAsia="en-NZ"/>
        </w:rPr>
        <w:t>every precaution to ensure that communication and collaboration with any third party meets New Zealand legal obligations and fulfils the purpose and promise of the donors.</w:t>
      </w:r>
    </w:p>
    <w:p w14:paraId="4C1C0563" w14:textId="77777777" w:rsidR="00E5652B" w:rsidRDefault="00E5652B" w:rsidP="00E5652B">
      <w:pPr>
        <w:pStyle w:val="ListParagraph"/>
        <w:ind w:left="0"/>
        <w:rPr>
          <w:b/>
          <w:sz w:val="24"/>
          <w:szCs w:val="24"/>
        </w:rPr>
      </w:pPr>
    </w:p>
    <w:p w14:paraId="6A079183" w14:textId="77777777" w:rsidR="00E5652B" w:rsidRDefault="00E5652B" w:rsidP="00E5652B">
      <w:pPr>
        <w:pStyle w:val="ListParagraph"/>
        <w:ind w:left="0"/>
        <w:rPr>
          <w:b/>
          <w:sz w:val="24"/>
          <w:szCs w:val="24"/>
        </w:rPr>
      </w:pPr>
    </w:p>
    <w:p w14:paraId="32E1BFAF" w14:textId="6D269F67" w:rsidR="00D866C3" w:rsidRPr="00E5652B" w:rsidRDefault="4DE77018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</w:rPr>
      </w:pPr>
      <w:r w:rsidRPr="00E5652B">
        <w:rPr>
          <w:b/>
          <w:sz w:val="24"/>
          <w:szCs w:val="24"/>
        </w:rPr>
        <w:t>Definitions</w:t>
      </w:r>
    </w:p>
    <w:p w14:paraId="6DF41BAE" w14:textId="5BEFA9FE" w:rsidR="00A11351" w:rsidRPr="00E5652B" w:rsidRDefault="4DE77018" w:rsidP="00E5652B">
      <w:r w:rsidRPr="00E5652B">
        <w:rPr>
          <w:b/>
          <w:bCs/>
          <w:lang w:val="en-NZ" w:eastAsia="en-NZ"/>
        </w:rPr>
        <w:t>Funds</w:t>
      </w:r>
      <w:r w:rsidRPr="00E5652B">
        <w:rPr>
          <w:lang w:val="en-NZ" w:eastAsia="en-NZ"/>
        </w:rPr>
        <w:t xml:space="preserve"> means any pecuniary resource. </w:t>
      </w:r>
    </w:p>
    <w:p w14:paraId="679D9521" w14:textId="1459643F" w:rsidR="2FA62149" w:rsidRPr="00E5652B" w:rsidRDefault="4DE77018" w:rsidP="00E5652B">
      <w:pPr>
        <w:rPr>
          <w:lang w:val="en-NZ" w:eastAsia="en-NZ"/>
        </w:rPr>
      </w:pPr>
      <w:r w:rsidRPr="00E5652B">
        <w:rPr>
          <w:b/>
          <w:bCs/>
          <w:lang w:val="en-NZ" w:eastAsia="en-NZ"/>
        </w:rPr>
        <w:t>Resources</w:t>
      </w:r>
      <w:r w:rsidRPr="00E5652B">
        <w:rPr>
          <w:lang w:val="en-NZ" w:eastAsia="en-NZ"/>
        </w:rPr>
        <w:t xml:space="preserve"> includes any object, information, or otherwise that can be transferred from one party to another.</w:t>
      </w:r>
    </w:p>
    <w:p w14:paraId="6E859B8E" w14:textId="227AF99E" w:rsidR="002B53B2" w:rsidRPr="00E5652B" w:rsidRDefault="4DE77018" w:rsidP="00E5652B">
      <w:pPr>
        <w:rPr>
          <w:lang w:val="en-NZ" w:eastAsia="en-NZ"/>
        </w:rPr>
      </w:pPr>
      <w:r w:rsidRPr="00E5652B">
        <w:rPr>
          <w:b/>
          <w:bCs/>
          <w:lang w:val="en-NZ" w:eastAsia="en-NZ"/>
        </w:rPr>
        <w:t>Third Party</w:t>
      </w:r>
      <w:r w:rsidRPr="00E5652B">
        <w:rPr>
          <w:lang w:val="en-NZ" w:eastAsia="en-NZ"/>
        </w:rPr>
        <w:t xml:space="preserve"> includes any organisation, business or group that the signatory organisation is supplying any funds or resources to.</w:t>
      </w:r>
    </w:p>
    <w:p w14:paraId="5DE3B4DC" w14:textId="235FCE6F" w:rsidR="002B53B2" w:rsidRPr="00E5652B" w:rsidRDefault="4DE77018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  <w:lang w:val="en-NZ"/>
        </w:rPr>
      </w:pPr>
      <w:r w:rsidRPr="00E5652B">
        <w:rPr>
          <w:b/>
          <w:sz w:val="24"/>
          <w:szCs w:val="24"/>
          <w:lang w:val="en-NZ"/>
        </w:rPr>
        <w:t>Consistency with donor promise</w:t>
      </w:r>
    </w:p>
    <w:p w14:paraId="38970F16" w14:textId="70D821E5" w:rsidR="002B53B2" w:rsidRPr="00E5652B" w:rsidRDefault="005C732C" w:rsidP="00E5652B">
      <w:pPr>
        <w:rPr>
          <w:lang w:eastAsia="en-AU"/>
        </w:rPr>
      </w:pPr>
      <w:r w:rsidRPr="00621C8A">
        <w:rPr>
          <w:i/>
          <w:iCs/>
          <w:sz w:val="24"/>
          <w:szCs w:val="24"/>
          <w:lang w:eastAsia="en-AU"/>
        </w:rPr>
        <w:t xml:space="preserve"> </w:t>
      </w:r>
      <w:r w:rsidR="1AE600D4" w:rsidRPr="00E5652B">
        <w:rPr>
          <w:i/>
          <w:iCs/>
          <w:lang w:eastAsia="en-AU"/>
        </w:rPr>
        <w:t xml:space="preserve">[ORGANISATION] </w:t>
      </w:r>
      <w:r w:rsidR="1AE600D4" w:rsidRPr="00E5652B">
        <w:rPr>
          <w:lang w:eastAsia="en-AU"/>
        </w:rPr>
        <w:t xml:space="preserve">acknowledges the generosity of donors and the responsibility to use donations in accordance with promises made to donors. To this end, </w:t>
      </w:r>
      <w:r w:rsidR="1AE600D4" w:rsidRPr="00E5652B">
        <w:rPr>
          <w:i/>
          <w:iCs/>
          <w:lang w:eastAsia="en-AU"/>
        </w:rPr>
        <w:t>[ORGANISATION]</w:t>
      </w:r>
      <w:r w:rsidR="1AE600D4" w:rsidRPr="00E5652B">
        <w:rPr>
          <w:lang w:eastAsia="en-AU"/>
        </w:rPr>
        <w:t xml:space="preserve"> will:</w:t>
      </w:r>
    </w:p>
    <w:p w14:paraId="43690B01" w14:textId="665EB0E7" w:rsidR="007E67DD" w:rsidRPr="004327BA" w:rsidRDefault="4DE77018" w:rsidP="00E5652B">
      <w:pPr>
        <w:pStyle w:val="ListParagraph"/>
        <w:numPr>
          <w:ilvl w:val="0"/>
          <w:numId w:val="30"/>
        </w:numPr>
        <w:rPr>
          <w:lang w:eastAsia="en-AU"/>
        </w:rPr>
      </w:pPr>
      <w:r w:rsidRPr="004327BA">
        <w:rPr>
          <w:lang w:eastAsia="en-AU"/>
        </w:rPr>
        <w:t>Have the capacity to track donor funds that have been raised for particular purposes;</w:t>
      </w:r>
    </w:p>
    <w:p w14:paraId="7F785C09" w14:textId="464C2953" w:rsidR="007E67DD" w:rsidRPr="004327BA" w:rsidRDefault="4DE77018" w:rsidP="00E5652B">
      <w:pPr>
        <w:pStyle w:val="ListParagraph"/>
        <w:numPr>
          <w:ilvl w:val="0"/>
          <w:numId w:val="30"/>
        </w:numPr>
        <w:rPr>
          <w:lang w:eastAsia="en-AU"/>
        </w:rPr>
      </w:pPr>
      <w:r w:rsidRPr="004327BA">
        <w:rPr>
          <w:lang w:eastAsia="en-AU"/>
        </w:rPr>
        <w:t>Be able to demonstrate that they have been applied to the promised purposes;</w:t>
      </w:r>
    </w:p>
    <w:p w14:paraId="0D9C031C" w14:textId="3CFF527F" w:rsidR="007E67DD" w:rsidRPr="004327BA" w:rsidRDefault="4DE77018" w:rsidP="00E5652B">
      <w:pPr>
        <w:pStyle w:val="ListParagraph"/>
        <w:numPr>
          <w:ilvl w:val="0"/>
          <w:numId w:val="30"/>
        </w:numPr>
        <w:rPr>
          <w:lang w:eastAsia="en-AU"/>
        </w:rPr>
      </w:pPr>
      <w:r w:rsidRPr="004327BA">
        <w:rPr>
          <w:lang w:eastAsia="en-AU"/>
        </w:rPr>
        <w:t>Have the ability to adapt projects to reflect changing needs and emerging good practice so that funds are maximised;</w:t>
      </w:r>
    </w:p>
    <w:p w14:paraId="7B461291" w14:textId="253D6179" w:rsidR="007E67DD" w:rsidRPr="004327BA" w:rsidRDefault="1AE600D4" w:rsidP="00E5652B">
      <w:pPr>
        <w:pStyle w:val="ListParagraph"/>
        <w:numPr>
          <w:ilvl w:val="0"/>
          <w:numId w:val="30"/>
        </w:numPr>
        <w:rPr>
          <w:lang w:eastAsia="en-AU"/>
        </w:rPr>
      </w:pPr>
      <w:r w:rsidRPr="004327BA">
        <w:rPr>
          <w:lang w:eastAsia="en-AU"/>
        </w:rPr>
        <w:t>Pay careful attention to making realistic fundraising promises as well as to tracking funds and resources.</w:t>
      </w:r>
    </w:p>
    <w:p w14:paraId="4E655D09" w14:textId="77777777" w:rsidR="00E5652B" w:rsidRPr="004327BA" w:rsidRDefault="00E5652B" w:rsidP="00E5652B">
      <w:pPr>
        <w:pStyle w:val="ListParagraph"/>
        <w:rPr>
          <w:lang w:eastAsia="en-AU"/>
        </w:rPr>
      </w:pPr>
    </w:p>
    <w:p w14:paraId="0EE75B9F" w14:textId="028E61A4" w:rsidR="5D31EB1F" w:rsidRPr="00E5652B" w:rsidRDefault="1AE600D4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  <w:lang w:val="en-NZ"/>
        </w:rPr>
      </w:pPr>
      <w:r w:rsidRPr="00E5652B">
        <w:rPr>
          <w:b/>
          <w:sz w:val="24"/>
          <w:szCs w:val="24"/>
          <w:lang w:val="en-NZ"/>
        </w:rPr>
        <w:t>Third Parties</w:t>
      </w:r>
    </w:p>
    <w:p w14:paraId="299E5304" w14:textId="7A722094" w:rsidR="00615935" w:rsidRPr="00E5652B" w:rsidRDefault="00623501" w:rsidP="00E5652B">
      <w:pPr>
        <w:rPr>
          <w:lang w:eastAsia="en-AU"/>
        </w:rPr>
      </w:pPr>
      <w:r w:rsidRPr="00E5652B">
        <w:rPr>
          <w:i/>
          <w:iCs/>
          <w:lang w:eastAsia="en-AU"/>
        </w:rPr>
        <w:t xml:space="preserve"> </w:t>
      </w:r>
      <w:r w:rsidR="1AE600D4" w:rsidRPr="00E5652B">
        <w:rPr>
          <w:i/>
          <w:iCs/>
          <w:lang w:eastAsia="en-AU"/>
        </w:rPr>
        <w:t xml:space="preserve">[ORGANISATION] </w:t>
      </w:r>
      <w:r w:rsidR="1AE600D4" w:rsidRPr="00E5652B">
        <w:rPr>
          <w:lang w:eastAsia="en-AU"/>
        </w:rPr>
        <w:t xml:space="preserve">commits to conducting appropriate due diligence on any third party to whom we will disburse funds or resources for aid and development work. </w:t>
      </w:r>
    </w:p>
    <w:p w14:paraId="55CB06C4" w14:textId="7BFEA94B" w:rsidR="00615935" w:rsidRPr="00E5652B" w:rsidRDefault="1AE600D4" w:rsidP="00E5652B">
      <w:pPr>
        <w:rPr>
          <w:lang w:val="en-NZ" w:eastAsia="en-AU"/>
        </w:rPr>
      </w:pPr>
      <w:r w:rsidRPr="00E5652B">
        <w:rPr>
          <w:lang w:val="en-NZ" w:eastAsia="en-AU"/>
        </w:rPr>
        <w:t>This due diligence should be appropriate to the scale of the funds or resources involved and to the risk. At a minimum, it will include checking:</w:t>
      </w:r>
    </w:p>
    <w:p w14:paraId="68CF676A" w14:textId="77777777" w:rsidR="00615935" w:rsidRPr="00E5652B" w:rsidRDefault="1AE600D4" w:rsidP="00E5652B">
      <w:pPr>
        <w:pStyle w:val="ListParagraph"/>
        <w:numPr>
          <w:ilvl w:val="0"/>
          <w:numId w:val="32"/>
        </w:numPr>
        <w:rPr>
          <w:lang w:val="en-NZ" w:eastAsia="en-AU"/>
        </w:rPr>
      </w:pPr>
      <w:r w:rsidRPr="00E5652B">
        <w:rPr>
          <w:lang w:val="en-NZ" w:eastAsia="en-AU"/>
        </w:rPr>
        <w:t>that the third party is appropriately registered;</w:t>
      </w:r>
    </w:p>
    <w:p w14:paraId="77BF4205" w14:textId="77777777" w:rsidR="00615935" w:rsidRPr="00E5652B" w:rsidRDefault="1AE600D4" w:rsidP="00E5652B">
      <w:pPr>
        <w:pStyle w:val="ListParagraph"/>
        <w:numPr>
          <w:ilvl w:val="0"/>
          <w:numId w:val="32"/>
        </w:numPr>
        <w:rPr>
          <w:lang w:val="en-NZ" w:eastAsia="en-AU"/>
        </w:rPr>
      </w:pPr>
      <w:r w:rsidRPr="00E5652B">
        <w:rPr>
          <w:lang w:val="en-NZ" w:eastAsia="en-AU"/>
        </w:rPr>
        <w:t>the type of programme or work the third party conducts;</w:t>
      </w:r>
    </w:p>
    <w:p w14:paraId="7F54A4F6" w14:textId="02839294" w:rsidR="00615935" w:rsidRPr="00E5652B" w:rsidRDefault="1AE600D4" w:rsidP="00E5652B">
      <w:pPr>
        <w:pStyle w:val="ListParagraph"/>
        <w:numPr>
          <w:ilvl w:val="0"/>
          <w:numId w:val="32"/>
        </w:numPr>
        <w:rPr>
          <w:lang w:val="en-NZ" w:eastAsia="en-AU"/>
        </w:rPr>
      </w:pPr>
      <w:r w:rsidRPr="00E5652B">
        <w:rPr>
          <w:lang w:val="en-NZ" w:eastAsia="en-AU"/>
        </w:rPr>
        <w:t>its ability to comply with relevant laws;</w:t>
      </w:r>
    </w:p>
    <w:p w14:paraId="6D4967FA" w14:textId="77777777" w:rsidR="00615935" w:rsidRPr="00E5652B" w:rsidRDefault="1AE600D4" w:rsidP="00E5652B">
      <w:pPr>
        <w:pStyle w:val="ListParagraph"/>
        <w:numPr>
          <w:ilvl w:val="0"/>
          <w:numId w:val="32"/>
        </w:numPr>
        <w:rPr>
          <w:lang w:val="en-NZ" w:eastAsia="en-AU"/>
        </w:rPr>
      </w:pPr>
      <w:r w:rsidRPr="00E5652B">
        <w:rPr>
          <w:lang w:val="en-NZ" w:eastAsia="en-AU"/>
        </w:rPr>
        <w:t>the track record of the third party; and</w:t>
      </w:r>
    </w:p>
    <w:p w14:paraId="3426D057" w14:textId="77777777" w:rsidR="00615935" w:rsidRPr="00E5652B" w:rsidRDefault="1AE600D4" w:rsidP="00E5652B">
      <w:pPr>
        <w:pStyle w:val="ListParagraph"/>
        <w:numPr>
          <w:ilvl w:val="0"/>
          <w:numId w:val="32"/>
        </w:numPr>
        <w:rPr>
          <w:lang w:val="en-NZ" w:eastAsia="en-AU"/>
        </w:rPr>
      </w:pPr>
      <w:r w:rsidRPr="00E5652B">
        <w:rPr>
          <w:lang w:val="en-NZ" w:eastAsia="en-AU"/>
        </w:rPr>
        <w:t>the third party’s standing in the Sector.</w:t>
      </w:r>
    </w:p>
    <w:p w14:paraId="13184439" w14:textId="36F6EDF8" w:rsidR="00615935" w:rsidRPr="00E5652B" w:rsidRDefault="1AE600D4" w:rsidP="00E5652B">
      <w:pPr>
        <w:rPr>
          <w:lang w:val="en-NZ" w:eastAsia="en-AU"/>
        </w:rPr>
      </w:pPr>
      <w:r w:rsidRPr="00E5652B">
        <w:rPr>
          <w:i/>
          <w:iCs/>
          <w:lang w:val="en-NZ" w:eastAsia="en-AU"/>
        </w:rPr>
        <w:t>[ORGANISATION]</w:t>
      </w:r>
      <w:r w:rsidRPr="00E5652B">
        <w:rPr>
          <w:lang w:val="en-NZ" w:eastAsia="en-AU"/>
        </w:rPr>
        <w:t xml:space="preserve"> will only establish and maintain a relationship with the third party if it is sure that the organisation passes the risk assessment and is consistent with both the purposes of </w:t>
      </w:r>
      <w:r w:rsidRPr="00E5652B">
        <w:rPr>
          <w:i/>
          <w:iCs/>
          <w:lang w:val="en-NZ" w:eastAsia="en-AU"/>
        </w:rPr>
        <w:t xml:space="preserve">[ORGANISATION] </w:t>
      </w:r>
      <w:r w:rsidRPr="00E5652B">
        <w:rPr>
          <w:lang w:val="en-NZ" w:eastAsia="en-AU"/>
        </w:rPr>
        <w:t xml:space="preserve">and New Zealand law. </w:t>
      </w:r>
      <w:r w:rsidR="00637F43" w:rsidRPr="00E5652B">
        <w:rPr>
          <w:rStyle w:val="normaltextrun"/>
          <w:rFonts w:ascii="Calibri" w:hAnsi="Calibri" w:cs="Calibri"/>
          <w:shd w:val="clear" w:color="auto" w:fill="FFFFFF"/>
        </w:rPr>
        <w:t>A particular risk is that an organisation may be exploited as a conduit for third parties to ‘channel’ funds in order to obtain a tax deduction. </w:t>
      </w:r>
      <w:r w:rsidR="00637F43" w:rsidRPr="00E5652B">
        <w:rPr>
          <w:rStyle w:val="normaltextrun"/>
          <w:rFonts w:ascii="Calibri" w:hAnsi="Calibri" w:cs="Calibri"/>
          <w:i/>
          <w:iCs/>
          <w:shd w:val="clear" w:color="auto" w:fill="FFFFFF"/>
        </w:rPr>
        <w:t>[ORGANISATION]</w:t>
      </w:r>
      <w:r w:rsidR="00637F43" w:rsidRPr="00E5652B">
        <w:rPr>
          <w:rStyle w:val="normaltextrun"/>
          <w:rFonts w:ascii="Calibri" w:hAnsi="Calibri" w:cs="Calibri"/>
          <w:shd w:val="clear" w:color="auto" w:fill="FFFFFF"/>
        </w:rPr>
        <w:t> will not let funds be ‘channelled’ through our organisation to give a third party a tax deduction unless the third party’s intentions are consistent with the organisation’s purpose and objectives, and it complies with relevant New Zealand legislation.</w:t>
      </w:r>
    </w:p>
    <w:p w14:paraId="25EAC869" w14:textId="77777777" w:rsidR="00B66C7F" w:rsidRPr="00E5652B" w:rsidRDefault="4DE77018" w:rsidP="00E5652B">
      <w:pPr>
        <w:rPr>
          <w:lang w:val="en-NZ" w:eastAsia="en-AU"/>
        </w:rPr>
      </w:pPr>
      <w:r w:rsidRPr="00E5652B">
        <w:rPr>
          <w:lang w:val="en-NZ" w:eastAsia="en-AU"/>
        </w:rPr>
        <w:t xml:space="preserve">During the tenure of partnership with the third party organisation, </w:t>
      </w:r>
      <w:r w:rsidRPr="00E5652B">
        <w:rPr>
          <w:i/>
          <w:iCs/>
          <w:lang w:val="en-NZ" w:eastAsia="en-AU"/>
        </w:rPr>
        <w:t>[ORGANISATION]</w:t>
      </w:r>
      <w:r w:rsidRPr="00E5652B">
        <w:rPr>
          <w:lang w:val="en-NZ" w:eastAsia="en-AU"/>
        </w:rPr>
        <w:t xml:space="preserve"> will ensure they are able to:</w:t>
      </w:r>
    </w:p>
    <w:p w14:paraId="461CBECA" w14:textId="1025AF4D" w:rsidR="00B66C7F" w:rsidRPr="00E5652B" w:rsidRDefault="1AE600D4" w:rsidP="00E5652B">
      <w:pPr>
        <w:pStyle w:val="ListParagraph"/>
        <w:numPr>
          <w:ilvl w:val="0"/>
          <w:numId w:val="33"/>
        </w:numPr>
        <w:rPr>
          <w:lang w:val="en-NZ" w:eastAsia="en-AU"/>
        </w:rPr>
      </w:pPr>
      <w:r w:rsidRPr="00E5652B">
        <w:rPr>
          <w:b/>
          <w:bCs/>
          <w:lang w:val="en-NZ" w:eastAsia="en-AU"/>
        </w:rPr>
        <w:lastRenderedPageBreak/>
        <w:t xml:space="preserve">Monitor and evaluate </w:t>
      </w:r>
      <w:r w:rsidRPr="00E5652B">
        <w:rPr>
          <w:lang w:val="en-NZ" w:eastAsia="en-AU"/>
        </w:rPr>
        <w:t>the third party’s progress with the agreed development activity. This may include financial reports, progress reports, and/or evaluation reports.</w:t>
      </w:r>
    </w:p>
    <w:p w14:paraId="10C2E1AF" w14:textId="33D10172" w:rsidR="00B66C7F" w:rsidRPr="00E5652B" w:rsidRDefault="1AE600D4" w:rsidP="00E5652B">
      <w:pPr>
        <w:pStyle w:val="ListParagraph"/>
        <w:numPr>
          <w:ilvl w:val="0"/>
          <w:numId w:val="33"/>
        </w:numPr>
        <w:rPr>
          <w:lang w:val="en-NZ" w:eastAsia="en-AU"/>
        </w:rPr>
      </w:pPr>
      <w:r w:rsidRPr="00E5652B">
        <w:rPr>
          <w:b/>
          <w:bCs/>
          <w:lang w:val="en-NZ" w:eastAsia="en-AU"/>
        </w:rPr>
        <w:t xml:space="preserve">Have influence on </w:t>
      </w:r>
      <w:r w:rsidRPr="00E5652B">
        <w:rPr>
          <w:lang w:val="en-NZ" w:eastAsia="en-AU"/>
        </w:rPr>
        <w:t>the development activity through participation in its strategic direction or programme design, through approvals of plans or budgets and through evaluation and review.</w:t>
      </w:r>
    </w:p>
    <w:p w14:paraId="5EF5D112" w14:textId="77777777" w:rsidR="00B66C7F" w:rsidRPr="00E5652B" w:rsidRDefault="1AE600D4" w:rsidP="00E5652B">
      <w:pPr>
        <w:pStyle w:val="ListParagraph"/>
        <w:numPr>
          <w:ilvl w:val="0"/>
          <w:numId w:val="33"/>
        </w:numPr>
        <w:rPr>
          <w:lang w:val="en-NZ" w:eastAsia="en-AU"/>
        </w:rPr>
      </w:pPr>
      <w:r w:rsidRPr="00E5652B">
        <w:rPr>
          <w:b/>
          <w:bCs/>
          <w:lang w:val="en-NZ" w:eastAsia="en-AU"/>
        </w:rPr>
        <w:t xml:space="preserve">Have the ability to withdraw </w:t>
      </w:r>
      <w:r w:rsidRPr="00E5652B">
        <w:rPr>
          <w:lang w:val="en-NZ" w:eastAsia="en-AU"/>
        </w:rPr>
        <w:t>funding or initiate corrective action where an agreed development activity is no longer performing satisfactorily or meeting the agreed objectives.</w:t>
      </w:r>
    </w:p>
    <w:p w14:paraId="1BDC3516" w14:textId="1C74282B" w:rsidR="00B66C7F" w:rsidRPr="00E5652B" w:rsidRDefault="4DE77018" w:rsidP="00E5652B">
      <w:pPr>
        <w:pStyle w:val="ListParagraph"/>
        <w:numPr>
          <w:ilvl w:val="0"/>
          <w:numId w:val="33"/>
        </w:numPr>
        <w:rPr>
          <w:lang w:val="en-NZ" w:eastAsia="en-AU"/>
        </w:rPr>
      </w:pPr>
      <w:r w:rsidRPr="00E5652B">
        <w:rPr>
          <w:b/>
          <w:bCs/>
          <w:lang w:val="en-NZ" w:eastAsia="en-AU"/>
        </w:rPr>
        <w:t>Refer to governance</w:t>
      </w:r>
      <w:r w:rsidRPr="00E5652B">
        <w:rPr>
          <w:lang w:val="en-NZ" w:eastAsia="en-AU"/>
        </w:rPr>
        <w:t xml:space="preserve"> and should ensure that those arrangements clearly set out the roles and responsibilities of the parties (including affiliates, partners and the </w:t>
      </w:r>
      <w:r w:rsidRPr="00E5652B">
        <w:rPr>
          <w:i/>
          <w:iCs/>
          <w:lang w:val="en-NZ" w:eastAsia="en-AU"/>
        </w:rPr>
        <w:t>[ORGANISATION]</w:t>
      </w:r>
      <w:r w:rsidRPr="00E5652B">
        <w:rPr>
          <w:lang w:val="en-NZ" w:eastAsia="en-AU"/>
        </w:rPr>
        <w:t>).</w:t>
      </w:r>
    </w:p>
    <w:p w14:paraId="467EE1C2" w14:textId="77777777" w:rsidR="00E5652B" w:rsidRPr="00E5652B" w:rsidRDefault="00E5652B" w:rsidP="00E5652B">
      <w:pPr>
        <w:pStyle w:val="ListParagraph"/>
        <w:rPr>
          <w:sz w:val="24"/>
          <w:szCs w:val="24"/>
          <w:lang w:val="en-NZ" w:eastAsia="en-AU"/>
        </w:rPr>
      </w:pPr>
    </w:p>
    <w:p w14:paraId="15B1AD9C" w14:textId="21492D34" w:rsidR="00501303" w:rsidRPr="00E5652B" w:rsidRDefault="1AE600D4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  <w:lang w:val="en-NZ"/>
        </w:rPr>
      </w:pPr>
      <w:r w:rsidRPr="00E5652B">
        <w:rPr>
          <w:b/>
          <w:sz w:val="24"/>
          <w:szCs w:val="24"/>
          <w:lang w:val="en-NZ"/>
        </w:rPr>
        <w:t>Legislative Requirements</w:t>
      </w:r>
    </w:p>
    <w:p w14:paraId="6E3A359C" w14:textId="50662CE8" w:rsidR="00382BFE" w:rsidRPr="00E5652B" w:rsidRDefault="4DE77018" w:rsidP="00E5652B">
      <w:pPr>
        <w:rPr>
          <w:lang w:val="en-NZ" w:eastAsia="en-AU"/>
        </w:rPr>
      </w:pPr>
      <w:r w:rsidRPr="00E5652B">
        <w:rPr>
          <w:lang w:eastAsia="en-AU"/>
        </w:rPr>
        <w:t>New Zealand law requires that funds raised for charitable purposes must remain under the control of the organisation until they are disbursed or used for that charitable purpose. </w:t>
      </w:r>
      <w:r w:rsidRPr="00E5652B">
        <w:rPr>
          <w:i/>
          <w:iCs/>
          <w:lang w:val="en-NZ" w:eastAsia="en-AU"/>
        </w:rPr>
        <w:t>[ORGANISATION]</w:t>
      </w:r>
      <w:r w:rsidRPr="00E5652B">
        <w:rPr>
          <w:lang w:val="en-NZ" w:eastAsia="en-AU"/>
        </w:rPr>
        <w:t xml:space="preserve"> is not absolved of its responsibility by passing the funds or resources to a third party for implementation. In order to be satisfied that the third party will apply the funds or resources in compliance with the relevant legal obligations, </w:t>
      </w:r>
      <w:r w:rsidRPr="00E5652B">
        <w:rPr>
          <w:i/>
          <w:iCs/>
          <w:lang w:val="en-NZ" w:eastAsia="en-AU"/>
        </w:rPr>
        <w:t>[ORGANISATION]</w:t>
      </w:r>
      <w:r w:rsidRPr="00E5652B">
        <w:rPr>
          <w:lang w:val="en-NZ" w:eastAsia="en-AU"/>
        </w:rPr>
        <w:t xml:space="preserve"> will ensure that this requirement is expressly outlined in contracts, written agreements or procedures.</w:t>
      </w:r>
    </w:p>
    <w:p w14:paraId="4A278361" w14:textId="2992ED88" w:rsidR="00382BFE" w:rsidRPr="00E5652B" w:rsidRDefault="4DE77018" w:rsidP="00E5652B">
      <w:pPr>
        <w:rPr>
          <w:lang w:val="en-NZ" w:eastAsia="en-AU"/>
        </w:rPr>
      </w:pPr>
      <w:r w:rsidRPr="00E5652B">
        <w:rPr>
          <w:lang w:val="en-NZ" w:eastAsia="en-AU"/>
        </w:rPr>
        <w:t>As a minimum, this expression will include reference to:</w:t>
      </w:r>
    </w:p>
    <w:p w14:paraId="68E7F4AE" w14:textId="703C7721" w:rsidR="00382BFE" w:rsidRPr="00E5652B" w:rsidRDefault="1AE600D4" w:rsidP="00E5652B">
      <w:pPr>
        <w:pStyle w:val="ListParagraph"/>
        <w:numPr>
          <w:ilvl w:val="0"/>
          <w:numId w:val="34"/>
        </w:numPr>
        <w:rPr>
          <w:lang w:val="en-NZ" w:eastAsia="en-AU"/>
        </w:rPr>
      </w:pPr>
      <w:r w:rsidRPr="00E5652B">
        <w:rPr>
          <w:lang w:val="en-NZ" w:eastAsia="en-AU"/>
        </w:rPr>
        <w:t>the appropriate principles of the CID Code;</w:t>
      </w:r>
    </w:p>
    <w:p w14:paraId="25A2AC40" w14:textId="77777777" w:rsidR="00382BFE" w:rsidRPr="00E5652B" w:rsidRDefault="1AE600D4" w:rsidP="00E5652B">
      <w:pPr>
        <w:pStyle w:val="ListParagraph"/>
        <w:numPr>
          <w:ilvl w:val="0"/>
          <w:numId w:val="34"/>
        </w:numPr>
        <w:rPr>
          <w:lang w:val="en-NZ" w:eastAsia="en-AU"/>
        </w:rPr>
      </w:pPr>
      <w:r w:rsidRPr="00E5652B">
        <w:rPr>
          <w:lang w:val="en-NZ" w:eastAsia="en-AU"/>
        </w:rPr>
        <w:t>the specific New Zealand law that is known to apply; and</w:t>
      </w:r>
    </w:p>
    <w:p w14:paraId="6CB6E272" w14:textId="77777777" w:rsidR="00382BFE" w:rsidRPr="00E5652B" w:rsidRDefault="1AE600D4" w:rsidP="00E5652B">
      <w:pPr>
        <w:pStyle w:val="ListParagraph"/>
        <w:numPr>
          <w:ilvl w:val="0"/>
          <w:numId w:val="34"/>
        </w:numPr>
        <w:rPr>
          <w:lang w:val="en-NZ" w:eastAsia="en-AU"/>
        </w:rPr>
      </w:pPr>
      <w:r w:rsidRPr="00E5652B">
        <w:rPr>
          <w:lang w:val="en-NZ" w:eastAsia="en-AU"/>
        </w:rPr>
        <w:t>a general provision to other relevant law in both New Zealand and other jurisdictions.</w:t>
      </w:r>
    </w:p>
    <w:p w14:paraId="6E687A23" w14:textId="3813B4E4" w:rsidR="00AE36CE" w:rsidRPr="00E5652B" w:rsidRDefault="1AE600D4" w:rsidP="00E5652B">
      <w:pPr>
        <w:rPr>
          <w:lang w:val="en-NZ" w:eastAsia="en-AU"/>
        </w:rPr>
      </w:pPr>
      <w:r w:rsidRPr="00E5652B">
        <w:rPr>
          <w:i/>
          <w:iCs/>
          <w:lang w:val="en-NZ" w:eastAsia="en-AU"/>
        </w:rPr>
        <w:t>[ORGANISATION]</w:t>
      </w:r>
      <w:r w:rsidRPr="00E5652B">
        <w:rPr>
          <w:lang w:val="en-NZ" w:eastAsia="en-AU"/>
        </w:rPr>
        <w:t xml:space="preserve"> will seek assurance that the third party organisations have adequate regulatory and legal compliance knowledge and systems – appropriate to their circumstances. </w:t>
      </w:r>
      <w:r w:rsidRPr="00E5652B">
        <w:rPr>
          <w:i/>
          <w:iCs/>
          <w:lang w:val="en-NZ" w:eastAsia="en-AU"/>
        </w:rPr>
        <w:t xml:space="preserve">[ORGANISATION] </w:t>
      </w:r>
      <w:r w:rsidRPr="00E5652B">
        <w:rPr>
          <w:lang w:val="en-NZ" w:eastAsia="en-AU"/>
        </w:rPr>
        <w:t xml:space="preserve">will ensure that we do not inadvertently or otherwise have any form of relationship with the organisations and persons on the New Zealand Police list on their </w:t>
      </w:r>
      <w:hyperlink r:id="rId12">
        <w:r w:rsidRPr="00E5652B">
          <w:rPr>
            <w:rStyle w:val="Hyperlink"/>
            <w:rFonts w:eastAsiaTheme="minorEastAsia"/>
            <w:color w:val="auto"/>
            <w:lang w:val="en-NZ" w:eastAsia="en-AU"/>
          </w:rPr>
          <w:t>website</w:t>
        </w:r>
      </w:hyperlink>
      <w:r w:rsidRPr="00E5652B">
        <w:rPr>
          <w:lang w:val="en-NZ" w:eastAsia="en-AU"/>
        </w:rPr>
        <w:t>.</w:t>
      </w:r>
      <w:r w:rsidR="0040122C" w:rsidRPr="00E5652B">
        <w:rPr>
          <w:lang w:val="en-NZ" w:eastAsia="en-AU"/>
        </w:rPr>
        <w:t xml:space="preserve"> [ORGANISATION] will also </w:t>
      </w:r>
      <w:r w:rsidR="00D571A5" w:rsidRPr="00E5652B">
        <w:rPr>
          <w:lang w:val="en-NZ" w:eastAsia="en-AU"/>
        </w:rPr>
        <w:t xml:space="preserve">take every reasonable effort and precaution to </w:t>
      </w:r>
      <w:r w:rsidR="0040122C" w:rsidRPr="00E5652B">
        <w:rPr>
          <w:lang w:val="en-NZ" w:eastAsia="en-AU"/>
        </w:rPr>
        <w:t xml:space="preserve"> not </w:t>
      </w:r>
      <w:r w:rsidR="009F4FBB" w:rsidRPr="00E5652B">
        <w:rPr>
          <w:lang w:val="en-NZ" w:eastAsia="en-AU"/>
        </w:rPr>
        <w:t>provide funds or resources to terrorist organisations or individuals affiliat</w:t>
      </w:r>
      <w:r w:rsidR="00C2606E" w:rsidRPr="00E5652B">
        <w:rPr>
          <w:lang w:val="en-NZ" w:eastAsia="en-AU"/>
        </w:rPr>
        <w:t xml:space="preserve">ed with them. </w:t>
      </w:r>
    </w:p>
    <w:p w14:paraId="41C8F396" w14:textId="53842A4E" w:rsidR="00501303" w:rsidRPr="00E5652B" w:rsidRDefault="1AE600D4" w:rsidP="00E5652B">
      <w:pPr>
        <w:pStyle w:val="ListParagraph"/>
        <w:numPr>
          <w:ilvl w:val="0"/>
          <w:numId w:val="29"/>
        </w:numPr>
        <w:ind w:left="0"/>
        <w:rPr>
          <w:b/>
          <w:sz w:val="24"/>
          <w:szCs w:val="24"/>
          <w:lang w:val="en-NZ"/>
        </w:rPr>
      </w:pPr>
      <w:r w:rsidRPr="00E5652B">
        <w:rPr>
          <w:b/>
          <w:sz w:val="24"/>
          <w:szCs w:val="24"/>
          <w:lang w:val="en-NZ"/>
        </w:rPr>
        <w:t>Controls and Risk Assessment</w:t>
      </w:r>
    </w:p>
    <w:p w14:paraId="205C3E69" w14:textId="16ECF9D2" w:rsidR="004163A4" w:rsidRPr="00E5652B" w:rsidRDefault="1AE600D4" w:rsidP="00E5652B">
      <w:pPr>
        <w:rPr>
          <w:lang w:val="en-NZ"/>
        </w:rPr>
      </w:pPr>
      <w:r w:rsidRPr="00E5652B">
        <w:rPr>
          <w:lang w:val="en-NZ"/>
        </w:rPr>
        <w:t>An initial risk assessment should dictate the appropriate (or proportionate) level of control and risk management required</w:t>
      </w:r>
      <w:r w:rsidR="001877A4" w:rsidRPr="00E5652B">
        <w:rPr>
          <w:lang w:val="en-NZ"/>
        </w:rPr>
        <w:t xml:space="preserve"> to mitigate the</w:t>
      </w:r>
      <w:r w:rsidR="00F90078" w:rsidRPr="00E5652B">
        <w:rPr>
          <w:lang w:val="en-NZ"/>
        </w:rPr>
        <w:t xml:space="preserve"> risk of misappropriation or improper use of funds/resources</w:t>
      </w:r>
      <w:r w:rsidRPr="00E5652B">
        <w:rPr>
          <w:lang w:val="en-NZ"/>
        </w:rPr>
        <w:t xml:space="preserve">. </w:t>
      </w:r>
      <w:r w:rsidRPr="00E5652B">
        <w:rPr>
          <w:i/>
          <w:iCs/>
          <w:lang w:val="en-NZ"/>
        </w:rPr>
        <w:t>[ORGANISATION]</w:t>
      </w:r>
      <w:r w:rsidRPr="00E5652B">
        <w:rPr>
          <w:lang w:val="en-NZ"/>
        </w:rPr>
        <w:t xml:space="preserve"> may consider matters such as:</w:t>
      </w:r>
    </w:p>
    <w:p w14:paraId="0DD303A3" w14:textId="77777777" w:rsidR="004163A4" w:rsidRPr="00E5652B" w:rsidRDefault="1AE600D4" w:rsidP="00E5652B">
      <w:pPr>
        <w:pStyle w:val="ListParagraph"/>
        <w:numPr>
          <w:ilvl w:val="0"/>
          <w:numId w:val="35"/>
        </w:numPr>
        <w:rPr>
          <w:lang w:val="en-NZ"/>
        </w:rPr>
      </w:pPr>
      <w:r w:rsidRPr="00E5652B">
        <w:rPr>
          <w:lang w:val="en-NZ"/>
        </w:rPr>
        <w:t>the amounts of funding or resources involved;</w:t>
      </w:r>
    </w:p>
    <w:p w14:paraId="733F2E3F" w14:textId="77777777" w:rsidR="004163A4" w:rsidRPr="00E5652B" w:rsidRDefault="1AE600D4" w:rsidP="00E5652B">
      <w:pPr>
        <w:pStyle w:val="ListParagraph"/>
        <w:numPr>
          <w:ilvl w:val="0"/>
          <w:numId w:val="35"/>
        </w:numPr>
        <w:rPr>
          <w:lang w:val="en-NZ"/>
        </w:rPr>
      </w:pPr>
      <w:r w:rsidRPr="00E5652B">
        <w:rPr>
          <w:lang w:val="en-NZ"/>
        </w:rPr>
        <w:t>the particular circumstances of the development activity (e.g. geographical location, and the legal, political, social and economic context);</w:t>
      </w:r>
    </w:p>
    <w:p w14:paraId="59DE2344" w14:textId="77777777" w:rsidR="004163A4" w:rsidRPr="00E5652B" w:rsidRDefault="1AE600D4" w:rsidP="00E5652B">
      <w:pPr>
        <w:pStyle w:val="ListParagraph"/>
        <w:numPr>
          <w:ilvl w:val="0"/>
          <w:numId w:val="35"/>
        </w:numPr>
        <w:rPr>
          <w:lang w:val="en-NZ"/>
        </w:rPr>
      </w:pPr>
      <w:r w:rsidRPr="00E5652B">
        <w:rPr>
          <w:lang w:val="en-NZ"/>
        </w:rPr>
        <w:t>the extent to which the development activity is innovative or proven;</w:t>
      </w:r>
    </w:p>
    <w:p w14:paraId="39FBD5A0" w14:textId="77777777" w:rsidR="004163A4" w:rsidRPr="00E5652B" w:rsidRDefault="1AE600D4" w:rsidP="00E5652B">
      <w:pPr>
        <w:pStyle w:val="ListParagraph"/>
        <w:numPr>
          <w:ilvl w:val="0"/>
          <w:numId w:val="35"/>
        </w:numPr>
        <w:rPr>
          <w:lang w:val="en-NZ"/>
        </w:rPr>
      </w:pPr>
      <w:r w:rsidRPr="00E5652B">
        <w:rPr>
          <w:lang w:val="en-NZ"/>
        </w:rPr>
        <w:t>use of formal or registered financial channels for transferring funds; and</w:t>
      </w:r>
    </w:p>
    <w:p w14:paraId="0D3F2083" w14:textId="77777777" w:rsidR="004163A4" w:rsidRPr="00E5652B" w:rsidRDefault="1AE600D4" w:rsidP="00E5652B">
      <w:pPr>
        <w:pStyle w:val="ListParagraph"/>
        <w:numPr>
          <w:ilvl w:val="0"/>
          <w:numId w:val="35"/>
        </w:numPr>
        <w:rPr>
          <w:lang w:val="en-NZ"/>
        </w:rPr>
      </w:pPr>
      <w:r w:rsidRPr="00E5652B">
        <w:rPr>
          <w:lang w:val="en-NZ"/>
        </w:rPr>
        <w:t>maintenance of full programme budgets.</w:t>
      </w:r>
    </w:p>
    <w:p w14:paraId="24C191A9" w14:textId="3BBA62AF" w:rsidR="004163A4" w:rsidRPr="00E5652B" w:rsidRDefault="4DE77018" w:rsidP="00E5652B">
      <w:pPr>
        <w:rPr>
          <w:lang w:val="en-NZ"/>
        </w:rPr>
      </w:pPr>
      <w:r w:rsidRPr="00E5652B">
        <w:rPr>
          <w:lang w:val="en-NZ"/>
        </w:rPr>
        <w:t>Contracts will have specific clauses detailing the proposed use of funds and budgets and include provisions dealing with:</w:t>
      </w:r>
    </w:p>
    <w:p w14:paraId="30FDB512" w14:textId="77777777" w:rsidR="004163A4" w:rsidRPr="00E5652B" w:rsidRDefault="1AE600D4" w:rsidP="00E5652B">
      <w:pPr>
        <w:pStyle w:val="ListParagraph"/>
        <w:numPr>
          <w:ilvl w:val="0"/>
          <w:numId w:val="36"/>
        </w:numPr>
        <w:rPr>
          <w:lang w:val="en-NZ"/>
        </w:rPr>
      </w:pPr>
      <w:r w:rsidRPr="00E5652B">
        <w:rPr>
          <w:lang w:val="en-NZ"/>
        </w:rPr>
        <w:lastRenderedPageBreak/>
        <w:t>how much funding or resources will be provided (and whether in tranches);</w:t>
      </w:r>
    </w:p>
    <w:p w14:paraId="1018419E" w14:textId="77777777" w:rsidR="004163A4" w:rsidRPr="00E5652B" w:rsidRDefault="1AE600D4" w:rsidP="00E5652B">
      <w:pPr>
        <w:pStyle w:val="ListParagraph"/>
        <w:numPr>
          <w:ilvl w:val="0"/>
          <w:numId w:val="36"/>
        </w:numPr>
        <w:rPr>
          <w:lang w:val="en-NZ"/>
        </w:rPr>
      </w:pPr>
      <w:r w:rsidRPr="00E5652B">
        <w:rPr>
          <w:lang w:val="en-NZ"/>
        </w:rPr>
        <w:t>the timing and method of disbursements;</w:t>
      </w:r>
    </w:p>
    <w:p w14:paraId="0D9A0838" w14:textId="77777777" w:rsidR="004163A4" w:rsidRPr="00E5652B" w:rsidRDefault="1AE600D4" w:rsidP="00E5652B">
      <w:pPr>
        <w:pStyle w:val="ListParagraph"/>
        <w:numPr>
          <w:ilvl w:val="0"/>
          <w:numId w:val="36"/>
        </w:numPr>
        <w:rPr>
          <w:lang w:val="en-NZ"/>
        </w:rPr>
      </w:pPr>
      <w:r w:rsidRPr="00E5652B">
        <w:rPr>
          <w:lang w:val="en-NZ"/>
        </w:rPr>
        <w:t>application of interest and/or exchange rate movements;</w:t>
      </w:r>
    </w:p>
    <w:p w14:paraId="7D585941" w14:textId="2442B01A" w:rsidR="004163A4" w:rsidRPr="00E5652B" w:rsidRDefault="1AE600D4" w:rsidP="00E5652B">
      <w:pPr>
        <w:pStyle w:val="ListParagraph"/>
        <w:numPr>
          <w:ilvl w:val="0"/>
          <w:numId w:val="36"/>
        </w:numPr>
        <w:rPr>
          <w:lang w:val="en-NZ"/>
        </w:rPr>
      </w:pPr>
      <w:r w:rsidRPr="00E5652B">
        <w:rPr>
          <w:lang w:val="en-NZ"/>
        </w:rPr>
        <w:t>reimbursement if funds or resources are applied other than to the agreed activity</w:t>
      </w:r>
    </w:p>
    <w:p w14:paraId="2337F0E0" w14:textId="1B3D2E8B" w:rsidR="00336C4F" w:rsidRPr="00E5652B" w:rsidRDefault="1AE600D4" w:rsidP="00E5652B">
      <w:pPr>
        <w:pStyle w:val="ListParagraph"/>
        <w:numPr>
          <w:ilvl w:val="0"/>
          <w:numId w:val="36"/>
        </w:numPr>
        <w:rPr>
          <w:lang w:val="en-NZ"/>
        </w:rPr>
      </w:pPr>
      <w:r w:rsidRPr="00E5652B">
        <w:rPr>
          <w:lang w:val="en-NZ"/>
        </w:rPr>
        <w:t>return of surplus funds.</w:t>
      </w:r>
    </w:p>
    <w:sectPr w:rsidR="00336C4F" w:rsidRPr="00E565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0017" w14:textId="77777777" w:rsidR="005961AA" w:rsidRDefault="005961AA" w:rsidP="008B217C">
      <w:pPr>
        <w:spacing w:after="0" w:line="240" w:lineRule="auto"/>
      </w:pPr>
      <w:r>
        <w:separator/>
      </w:r>
    </w:p>
  </w:endnote>
  <w:endnote w:type="continuationSeparator" w:id="0">
    <w:p w14:paraId="300C78C5" w14:textId="77777777" w:rsidR="005961AA" w:rsidRDefault="005961AA" w:rsidP="008B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2B3E64" w:rsidRDefault="002B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2B3E64" w:rsidRDefault="002B3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2B3E64" w:rsidRDefault="002B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8A51F" w14:textId="77777777" w:rsidR="005961AA" w:rsidRDefault="005961AA" w:rsidP="008B217C">
      <w:pPr>
        <w:spacing w:after="0" w:line="240" w:lineRule="auto"/>
      </w:pPr>
      <w:r>
        <w:separator/>
      </w:r>
    </w:p>
  </w:footnote>
  <w:footnote w:type="continuationSeparator" w:id="0">
    <w:p w14:paraId="435D8D66" w14:textId="77777777" w:rsidR="005961AA" w:rsidRDefault="005961AA" w:rsidP="008B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1F1AE4CD" w:rsidR="002B3E64" w:rsidRDefault="005961AA">
    <w:pPr>
      <w:pStyle w:val="Header"/>
    </w:pPr>
    <w:r>
      <w:rPr>
        <w:noProof/>
      </w:rPr>
      <w:pict w14:anchorId="695C90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80485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0C800A95" w:rsidR="002B3E64" w:rsidRDefault="005961AA">
    <w:pPr>
      <w:pStyle w:val="Header"/>
    </w:pPr>
    <w:r>
      <w:rPr>
        <w:noProof/>
      </w:rPr>
      <w:pict w14:anchorId="7DE670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80486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08C68224" w:rsidR="002B3E64" w:rsidRDefault="005961AA">
    <w:pPr>
      <w:pStyle w:val="Header"/>
    </w:pPr>
    <w:r>
      <w:rPr>
        <w:noProof/>
      </w:rPr>
      <w:pict w14:anchorId="77DA3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80484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F23"/>
    <w:multiLevelType w:val="hybridMultilevel"/>
    <w:tmpl w:val="0FF48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137"/>
    <w:multiLevelType w:val="multilevel"/>
    <w:tmpl w:val="8AE0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0A20"/>
    <w:multiLevelType w:val="hybridMultilevel"/>
    <w:tmpl w:val="50B0F092"/>
    <w:lvl w:ilvl="0" w:tplc="B76297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2759"/>
    <w:multiLevelType w:val="hybridMultilevel"/>
    <w:tmpl w:val="97BCA5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4533"/>
    <w:multiLevelType w:val="hybridMultilevel"/>
    <w:tmpl w:val="8CDC51E8"/>
    <w:lvl w:ilvl="0" w:tplc="BF665E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90E"/>
    <w:multiLevelType w:val="multilevel"/>
    <w:tmpl w:val="3D1E2BB2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i/>
        <w:color w:val="0070C0"/>
        <w:sz w:val="24"/>
        <w:szCs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Calibri" w:hAnsi="Calibri" w:hint="default"/>
        <w:b/>
        <w:i/>
        <w:sz w:val="22"/>
      </w:rPr>
    </w:lvl>
  </w:abstractNum>
  <w:abstractNum w:abstractNumId="6" w15:restartNumberingAfterBreak="0">
    <w:nsid w:val="13ED30FE"/>
    <w:multiLevelType w:val="hybridMultilevel"/>
    <w:tmpl w:val="4FB2BAC6"/>
    <w:lvl w:ilvl="0" w:tplc="DB7490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00EB"/>
    <w:multiLevelType w:val="hybridMultilevel"/>
    <w:tmpl w:val="C23865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39F"/>
    <w:multiLevelType w:val="hybridMultilevel"/>
    <w:tmpl w:val="2BD4F1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347"/>
    <w:multiLevelType w:val="hybridMultilevel"/>
    <w:tmpl w:val="1E74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37A25"/>
    <w:multiLevelType w:val="multilevel"/>
    <w:tmpl w:val="702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55315"/>
    <w:multiLevelType w:val="multilevel"/>
    <w:tmpl w:val="3E0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91086"/>
    <w:multiLevelType w:val="hybridMultilevel"/>
    <w:tmpl w:val="5576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24534"/>
    <w:multiLevelType w:val="hybridMultilevel"/>
    <w:tmpl w:val="640E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70DDE"/>
    <w:multiLevelType w:val="hybridMultilevel"/>
    <w:tmpl w:val="763676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22041"/>
    <w:multiLevelType w:val="hybridMultilevel"/>
    <w:tmpl w:val="3F2AA7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627B"/>
    <w:multiLevelType w:val="hybridMultilevel"/>
    <w:tmpl w:val="928C9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A2B68"/>
    <w:multiLevelType w:val="hybridMultilevel"/>
    <w:tmpl w:val="4CB4E324"/>
    <w:lvl w:ilvl="0" w:tplc="5ED4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40A914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D5E88"/>
    <w:multiLevelType w:val="hybridMultilevel"/>
    <w:tmpl w:val="B832F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15542"/>
    <w:multiLevelType w:val="hybridMultilevel"/>
    <w:tmpl w:val="0EE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600D2"/>
    <w:multiLevelType w:val="hybridMultilevel"/>
    <w:tmpl w:val="36F6EA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16556"/>
    <w:multiLevelType w:val="hybridMultilevel"/>
    <w:tmpl w:val="CBEC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9B6"/>
    <w:multiLevelType w:val="hybridMultilevel"/>
    <w:tmpl w:val="E45ACC52"/>
    <w:lvl w:ilvl="0" w:tplc="5ED45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709A"/>
    <w:multiLevelType w:val="hybridMultilevel"/>
    <w:tmpl w:val="3A4A81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666CB"/>
    <w:multiLevelType w:val="hybridMultilevel"/>
    <w:tmpl w:val="75303814"/>
    <w:lvl w:ilvl="0" w:tplc="B87C038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  <w:lvl w:ilvl="1" w:tplc="62A6F0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5B3C53"/>
    <w:multiLevelType w:val="hybridMultilevel"/>
    <w:tmpl w:val="E112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E5197"/>
    <w:multiLevelType w:val="hybridMultilevel"/>
    <w:tmpl w:val="CF64B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F3F95"/>
    <w:multiLevelType w:val="hybridMultilevel"/>
    <w:tmpl w:val="C69A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57FDF"/>
    <w:multiLevelType w:val="hybridMultilevel"/>
    <w:tmpl w:val="C7FCC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96B41"/>
    <w:multiLevelType w:val="hybridMultilevel"/>
    <w:tmpl w:val="35A0A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B25B7"/>
    <w:multiLevelType w:val="hybridMultilevel"/>
    <w:tmpl w:val="23BC61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31E09"/>
    <w:multiLevelType w:val="hybridMultilevel"/>
    <w:tmpl w:val="A4A04064"/>
    <w:lvl w:ilvl="0" w:tplc="FF60D42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6E7224"/>
    <w:multiLevelType w:val="multilevel"/>
    <w:tmpl w:val="44F4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1B555C"/>
    <w:multiLevelType w:val="hybridMultilevel"/>
    <w:tmpl w:val="00E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76FF8"/>
    <w:multiLevelType w:val="hybridMultilevel"/>
    <w:tmpl w:val="9A624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8"/>
  </w:num>
  <w:num w:numId="4">
    <w:abstractNumId w:val="29"/>
  </w:num>
  <w:num w:numId="5">
    <w:abstractNumId w:val="22"/>
  </w:num>
  <w:num w:numId="6">
    <w:abstractNumId w:val="26"/>
  </w:num>
  <w:num w:numId="7">
    <w:abstractNumId w:val="16"/>
  </w:num>
  <w:num w:numId="8">
    <w:abstractNumId w:val="28"/>
  </w:num>
  <w:num w:numId="9">
    <w:abstractNumId w:val="5"/>
  </w:num>
  <w:num w:numId="10">
    <w:abstractNumId w:val="15"/>
  </w:num>
  <w:num w:numId="11">
    <w:abstractNumId w:val="4"/>
  </w:num>
  <w:num w:numId="12">
    <w:abstractNumId w:val="6"/>
  </w:num>
  <w:num w:numId="13">
    <w:abstractNumId w:val="2"/>
  </w:num>
  <w:num w:numId="14">
    <w:abstractNumId w:val="30"/>
  </w:num>
  <w:num w:numId="15">
    <w:abstractNumId w:val="3"/>
  </w:num>
  <w:num w:numId="16">
    <w:abstractNumId w:val="23"/>
  </w:num>
  <w:num w:numId="17">
    <w:abstractNumId w:val="34"/>
  </w:num>
  <w:num w:numId="18">
    <w:abstractNumId w:val="17"/>
  </w:num>
  <w:num w:numId="19">
    <w:abstractNumId w:val="31"/>
  </w:num>
  <w:num w:numId="20">
    <w:abstractNumId w:val="24"/>
    <w:lvlOverride w:ilvl="0">
      <w:startOverride w:val="1"/>
    </w:lvlOverride>
  </w:num>
  <w:num w:numId="21">
    <w:abstractNumId w:val="7"/>
  </w:num>
  <w:num w:numId="22">
    <w:abstractNumId w:val="0"/>
  </w:num>
  <w:num w:numId="23">
    <w:abstractNumId w:val="14"/>
  </w:num>
  <w:num w:numId="24">
    <w:abstractNumId w:val="11"/>
  </w:num>
  <w:num w:numId="25">
    <w:abstractNumId w:val="10"/>
  </w:num>
  <w:num w:numId="26">
    <w:abstractNumId w:val="20"/>
  </w:num>
  <w:num w:numId="27">
    <w:abstractNumId w:val="32"/>
  </w:num>
  <w:num w:numId="28">
    <w:abstractNumId w:val="1"/>
  </w:num>
  <w:num w:numId="29">
    <w:abstractNumId w:val="27"/>
  </w:num>
  <w:num w:numId="30">
    <w:abstractNumId w:val="19"/>
  </w:num>
  <w:num w:numId="31">
    <w:abstractNumId w:val="21"/>
  </w:num>
  <w:num w:numId="32">
    <w:abstractNumId w:val="25"/>
  </w:num>
  <w:num w:numId="33">
    <w:abstractNumId w:val="12"/>
  </w:num>
  <w:num w:numId="34">
    <w:abstractNumId w:val="33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C3"/>
    <w:rsid w:val="000659E9"/>
    <w:rsid w:val="000C3D83"/>
    <w:rsid w:val="000C5AA6"/>
    <w:rsid w:val="000E58F0"/>
    <w:rsid w:val="00112F05"/>
    <w:rsid w:val="00174149"/>
    <w:rsid w:val="001877A4"/>
    <w:rsid w:val="002432C0"/>
    <w:rsid w:val="00267A5B"/>
    <w:rsid w:val="002738C4"/>
    <w:rsid w:val="00276CDF"/>
    <w:rsid w:val="0029277E"/>
    <w:rsid w:val="002A4B53"/>
    <w:rsid w:val="002B3E64"/>
    <w:rsid w:val="002B53B2"/>
    <w:rsid w:val="002C7667"/>
    <w:rsid w:val="002F77EE"/>
    <w:rsid w:val="003204EF"/>
    <w:rsid w:val="00336C4F"/>
    <w:rsid w:val="00360F44"/>
    <w:rsid w:val="00364D0E"/>
    <w:rsid w:val="00382BFE"/>
    <w:rsid w:val="00390B26"/>
    <w:rsid w:val="003B397C"/>
    <w:rsid w:val="003C5514"/>
    <w:rsid w:val="003C67B8"/>
    <w:rsid w:val="003D6032"/>
    <w:rsid w:val="0040122C"/>
    <w:rsid w:val="004163A4"/>
    <w:rsid w:val="00421E36"/>
    <w:rsid w:val="0042501C"/>
    <w:rsid w:val="004327BA"/>
    <w:rsid w:val="00471807"/>
    <w:rsid w:val="004940A7"/>
    <w:rsid w:val="004F3265"/>
    <w:rsid w:val="004F5ED7"/>
    <w:rsid w:val="00501303"/>
    <w:rsid w:val="00541A32"/>
    <w:rsid w:val="00562EA1"/>
    <w:rsid w:val="005961AA"/>
    <w:rsid w:val="005C732C"/>
    <w:rsid w:val="005D2C3A"/>
    <w:rsid w:val="005F1E14"/>
    <w:rsid w:val="00615935"/>
    <w:rsid w:val="00621C8A"/>
    <w:rsid w:val="00621FB0"/>
    <w:rsid w:val="00623501"/>
    <w:rsid w:val="00637F43"/>
    <w:rsid w:val="00647FC2"/>
    <w:rsid w:val="0065197C"/>
    <w:rsid w:val="006E03C9"/>
    <w:rsid w:val="007012D8"/>
    <w:rsid w:val="00741798"/>
    <w:rsid w:val="007B4FF5"/>
    <w:rsid w:val="007E67DD"/>
    <w:rsid w:val="007F2CA2"/>
    <w:rsid w:val="00826913"/>
    <w:rsid w:val="00876917"/>
    <w:rsid w:val="008B217C"/>
    <w:rsid w:val="008C7B87"/>
    <w:rsid w:val="00912C4F"/>
    <w:rsid w:val="009349BA"/>
    <w:rsid w:val="00941D81"/>
    <w:rsid w:val="00941F24"/>
    <w:rsid w:val="00997E36"/>
    <w:rsid w:val="009A276F"/>
    <w:rsid w:val="009D40EC"/>
    <w:rsid w:val="009E55AC"/>
    <w:rsid w:val="009F4FBB"/>
    <w:rsid w:val="00A050FF"/>
    <w:rsid w:val="00A11351"/>
    <w:rsid w:val="00A62A6B"/>
    <w:rsid w:val="00A910DD"/>
    <w:rsid w:val="00AA3DD4"/>
    <w:rsid w:val="00AC2899"/>
    <w:rsid w:val="00AC6D5B"/>
    <w:rsid w:val="00AD1330"/>
    <w:rsid w:val="00AE36CE"/>
    <w:rsid w:val="00B2266C"/>
    <w:rsid w:val="00B2397D"/>
    <w:rsid w:val="00B53935"/>
    <w:rsid w:val="00B66C7F"/>
    <w:rsid w:val="00B719B4"/>
    <w:rsid w:val="00B81CDF"/>
    <w:rsid w:val="00BD1E14"/>
    <w:rsid w:val="00BF6969"/>
    <w:rsid w:val="00C068F2"/>
    <w:rsid w:val="00C2606E"/>
    <w:rsid w:val="00C755F9"/>
    <w:rsid w:val="00CA4B0F"/>
    <w:rsid w:val="00CD7D9E"/>
    <w:rsid w:val="00CE386D"/>
    <w:rsid w:val="00D13CA6"/>
    <w:rsid w:val="00D27CC4"/>
    <w:rsid w:val="00D571A5"/>
    <w:rsid w:val="00D709EE"/>
    <w:rsid w:val="00D866C3"/>
    <w:rsid w:val="00D86BB0"/>
    <w:rsid w:val="00DC5D02"/>
    <w:rsid w:val="00DE7CFB"/>
    <w:rsid w:val="00E16E79"/>
    <w:rsid w:val="00E45422"/>
    <w:rsid w:val="00E5652B"/>
    <w:rsid w:val="00E72D89"/>
    <w:rsid w:val="00E807A2"/>
    <w:rsid w:val="00EA685E"/>
    <w:rsid w:val="00F22DC5"/>
    <w:rsid w:val="00F47434"/>
    <w:rsid w:val="00F55244"/>
    <w:rsid w:val="00F678C6"/>
    <w:rsid w:val="00F90078"/>
    <w:rsid w:val="00F927CD"/>
    <w:rsid w:val="00FC4269"/>
    <w:rsid w:val="00FC6954"/>
    <w:rsid w:val="00FF6C14"/>
    <w:rsid w:val="03DEFC28"/>
    <w:rsid w:val="1AE600D4"/>
    <w:rsid w:val="2FA62149"/>
    <w:rsid w:val="4DE77018"/>
    <w:rsid w:val="5D31EB1F"/>
    <w:rsid w:val="668ED09F"/>
    <w:rsid w:val="7905A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987CCE"/>
  <w15:chartTrackingRefBased/>
  <w15:docId w15:val="{57C0EBC7-DD39-44E3-BE35-06E9A39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6C4F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D866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C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6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6C3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table" w:styleId="TableGrid">
    <w:name w:val="Table Grid"/>
    <w:basedOn w:val="TableNormal"/>
    <w:rsid w:val="00D86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6C3"/>
    <w:pPr>
      <w:ind w:left="720"/>
      <w:contextualSpacing/>
    </w:pPr>
  </w:style>
  <w:style w:type="paragraph" w:customStyle="1" w:styleId="Style1">
    <w:name w:val="Style1"/>
    <w:basedOn w:val="Normal"/>
    <w:qFormat/>
    <w:rsid w:val="00D866C3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AD9610"/>
      <w:autoSpaceDE w:val="0"/>
      <w:autoSpaceDN w:val="0"/>
      <w:adjustRightInd w:val="0"/>
      <w:spacing w:before="240" w:after="0" w:line="240" w:lineRule="auto"/>
    </w:pPr>
    <w:rPr>
      <w:rFonts w:cstheme="minorHAnsi"/>
      <w:b/>
      <w:bCs/>
      <w:sz w:val="28"/>
      <w:szCs w:val="28"/>
      <w:lang w:eastAsia="en-AU"/>
    </w:rPr>
  </w:style>
  <w:style w:type="paragraph" w:customStyle="1" w:styleId="Style3">
    <w:name w:val="Style3"/>
    <w:basedOn w:val="Style1"/>
    <w:qFormat/>
    <w:rsid w:val="00D866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798D37"/>
    </w:pPr>
    <w:rPr>
      <w:color w:val="FFFFFF" w:themeColor="background1"/>
    </w:rPr>
  </w:style>
  <w:style w:type="paragraph" w:customStyle="1" w:styleId="Default">
    <w:name w:val="Default"/>
    <w:rsid w:val="00D86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6C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8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D866C3"/>
  </w:style>
  <w:style w:type="character" w:customStyle="1" w:styleId="eop">
    <w:name w:val="eop"/>
    <w:basedOn w:val="DefaultParagraphFont"/>
    <w:rsid w:val="00D866C3"/>
  </w:style>
  <w:style w:type="character" w:customStyle="1" w:styleId="spellingerror">
    <w:name w:val="spellingerror"/>
    <w:basedOn w:val="DefaultParagraphFont"/>
    <w:rsid w:val="00E45422"/>
  </w:style>
  <w:style w:type="paragraph" w:styleId="FootnoteText">
    <w:name w:val="footnote text"/>
    <w:basedOn w:val="Normal"/>
    <w:link w:val="FootnoteTextChar"/>
    <w:uiPriority w:val="99"/>
    <w:semiHidden/>
    <w:unhideWhenUsed/>
    <w:rsid w:val="008B217C"/>
    <w:pPr>
      <w:spacing w:after="0"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17C"/>
    <w:rPr>
      <w:rFonts w:eastAsiaTheme="minorEastAsia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217C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4F5E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D7"/>
    <w:rPr>
      <w:i/>
      <w:iCs/>
      <w:color w:val="404040" w:themeColor="text1" w:themeTint="BF"/>
      <w:lang w:val="en-AU"/>
    </w:rPr>
  </w:style>
  <w:style w:type="paragraph" w:customStyle="1" w:styleId="paragraph1">
    <w:name w:val="paragraph1"/>
    <w:basedOn w:val="Normal"/>
    <w:rsid w:val="0056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6519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E6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B3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64"/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382BFE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7E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36C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336C4F"/>
    <w:rPr>
      <w:rFonts w:asciiTheme="majorHAnsi" w:eastAsiaTheme="majorEastAsia" w:hAnsiTheme="majorHAnsi" w:cstheme="majorBidi"/>
      <w:i/>
      <w:iCs/>
      <w:color w:val="2E74B5" w:themeColor="accent1" w:themeShade="BF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A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ce.govt.nz/advice/personal-community/counterterrorism/designated-entit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421C-8DF5-40B6-9996-2D4BEF0C1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586B3-DAA7-457A-9288-9826077A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1eabc-1675-431e-8468-36c0a4f15517"/>
    <ds:schemaRef ds:uri="d2c898a5-5572-438b-a976-5032225a7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6BA19-33C0-4337-83BF-8A6BF48C9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31800-28CA-4919-A4EB-4EEB4029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Gaia Maridati</cp:lastModifiedBy>
  <cp:revision>4</cp:revision>
  <cp:lastPrinted>2018-06-11T02:45:00Z</cp:lastPrinted>
  <dcterms:created xsi:type="dcterms:W3CDTF">2019-09-17T00:28:00Z</dcterms:created>
  <dcterms:modified xsi:type="dcterms:W3CDTF">2019-09-24T23:38:00Z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